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FF0EC" w14:textId="5FA9FE31" w:rsidR="00803E12" w:rsidRPr="00302890" w:rsidRDefault="00121C75" w:rsidP="004C0561">
      <w:pPr>
        <w:pStyle w:val="Title"/>
        <w:rPr>
          <w:b/>
          <w:bCs/>
          <w:color w:val="CC00CC"/>
          <w:sz w:val="28"/>
          <w:szCs w:val="24"/>
        </w:rPr>
      </w:pPr>
      <w:sdt>
        <w:sdtPr>
          <w:rPr>
            <w:b/>
            <w:bCs/>
            <w:color w:val="CC00CC"/>
            <w:sz w:val="28"/>
            <w:szCs w:val="24"/>
          </w:rPr>
          <w:alias w:val="Subtitle"/>
          <w:tag w:val="Subtitle"/>
          <w:id w:val="206753112"/>
          <w:placeholder>
            <w:docPart w:val="0E714F5486BB4262903E723F410AD5F2"/>
          </w:placeholder>
          <w:dataBinding w:prefixMappings="xmlns:ns0='http://purl.org/dc/elements/1.1/' xmlns:ns1='http://schemas.openxmlformats.org/package/2006/metadata/core-properties' " w:xpath="/ns1:coreProperties[1]/ns0:subject[1]" w:storeItemID="{6C3C8BC8-F283-45AE-878A-BAB7291924A1}"/>
          <w:text/>
        </w:sdtPr>
        <w:sdtEndPr/>
        <w:sdtContent>
          <w:r w:rsidR="000A228B" w:rsidRPr="000A228B">
            <w:rPr>
              <w:b/>
              <w:bCs/>
              <w:color w:val="CC00CC"/>
              <w:sz w:val="28"/>
              <w:szCs w:val="24"/>
            </w:rPr>
            <w:t>Spatial Mapping of GBV Services and Priority Access Gaps in Balaka District</w:t>
          </w:r>
        </w:sdtContent>
      </w:sdt>
    </w:p>
    <w:p w14:paraId="2997722D" w14:textId="6D4CA55C" w:rsidR="00654630" w:rsidRDefault="00C23C05" w:rsidP="00654630">
      <w:pPr>
        <w:pStyle w:val="Heading1"/>
        <w:rPr>
          <w:lang w:val="en-GB"/>
        </w:rPr>
      </w:pPr>
      <w:r w:rsidRPr="004B721D">
        <w:rPr>
          <w:b/>
          <w:bCs/>
        </w:rPr>
        <w:t>Purpose and Scope</w:t>
      </w:r>
    </w:p>
    <w:p w14:paraId="044B8387" w14:textId="5DEA2CE8" w:rsidR="008421C9" w:rsidRPr="00F82952" w:rsidRDefault="008421C9" w:rsidP="008421C9">
      <w:pPr>
        <w:jc w:val="both"/>
        <w:rPr>
          <w:lang w:val="en-GB"/>
        </w:rPr>
      </w:pPr>
      <w:r w:rsidRPr="00F82952">
        <w:rPr>
          <w:lang w:val="en-GB"/>
        </w:rPr>
        <w:t>Balaka District is one of the most service-constrained districts in the study, with the fewest mapped GBV service points and some of the lowest spatial coverage ratios across all five districts</w:t>
      </w:r>
      <w:r w:rsidR="00612B24">
        <w:rPr>
          <w:lang w:val="en-GB"/>
        </w:rPr>
        <w:t xml:space="preserve"> (Mzimba, Mchinji, </w:t>
      </w:r>
      <w:r w:rsidR="00501A81">
        <w:rPr>
          <w:lang w:val="en-GB"/>
        </w:rPr>
        <w:t>Nsanje, Phalombe and Balaka)</w:t>
      </w:r>
      <w:r w:rsidRPr="00F82952">
        <w:rPr>
          <w:lang w:val="en-GB"/>
        </w:rPr>
        <w:t>. Survivors</w:t>
      </w:r>
      <w:r w:rsidR="00BC606F">
        <w:rPr>
          <w:lang w:val="en-GB"/>
        </w:rPr>
        <w:t xml:space="preserve"> </w:t>
      </w:r>
      <w:r w:rsidRPr="00F82952">
        <w:rPr>
          <w:lang w:val="en-GB"/>
        </w:rPr>
        <w:t>particularly those in remote TAs such as Chanthunya and Phalula</w:t>
      </w:r>
      <w:r w:rsidR="00BC606F">
        <w:rPr>
          <w:lang w:val="en-GB"/>
        </w:rPr>
        <w:t xml:space="preserve"> </w:t>
      </w:r>
      <w:r w:rsidRPr="00F82952">
        <w:rPr>
          <w:lang w:val="en-GB"/>
        </w:rPr>
        <w:t>face extended travel times, high transport costs, and limited access to specialised services such as courts, OSCs and legal aid.</w:t>
      </w:r>
    </w:p>
    <w:p w14:paraId="46A5A47E" w14:textId="7059E51A" w:rsidR="003B72E8" w:rsidRPr="003B72E8" w:rsidRDefault="008421C9" w:rsidP="003B72E8">
      <w:pPr>
        <w:jc w:val="both"/>
        <w:rPr>
          <w:lang w:val="en-GB"/>
        </w:rPr>
      </w:pPr>
      <w:r w:rsidRPr="00F82952">
        <w:rPr>
          <w:lang w:val="en-GB"/>
        </w:rPr>
        <w:t>Spatial analysis indicates that GBV services are thinly distributed and highly dependent on a few key facilities located along the main road corridor. Average travel times in Balaka’s TAs often exceed one hour (e.g., Chanthunya &amp; Phalula 73 minutes), and remote areas experience substantial terrain, cost, and seasonal-access barriers.</w:t>
      </w:r>
      <w:r>
        <w:rPr>
          <w:lang w:val="en-GB"/>
        </w:rPr>
        <w:t xml:space="preserve"> </w:t>
      </w:r>
      <w:r w:rsidR="00A62466" w:rsidRPr="00A62466">
        <w:rPr>
          <w:lang w:val="en-GB"/>
        </w:rPr>
        <w:t>This policy brief provides a synthesis of GIS spatial analysis, TA-level population density mapping and facility-level referral and resolution data and actionable recommendations for improving survivor-centred access and reducing spatial inequity i</w:t>
      </w:r>
      <w:r w:rsidR="003B72E8" w:rsidRPr="003B72E8">
        <w:rPr>
          <w:lang w:val="en-GB"/>
        </w:rPr>
        <w:t>n Balaka District.</w:t>
      </w:r>
    </w:p>
    <w:p w14:paraId="4B391637" w14:textId="5BA453A8" w:rsidR="004A7ACA" w:rsidRPr="00654630" w:rsidRDefault="00F178D4" w:rsidP="003B72E8">
      <w:pPr>
        <w:jc w:val="both"/>
        <w:rPr>
          <w:lang w:val="en-GB"/>
        </w:rPr>
      </w:pPr>
      <w:r w:rsidRPr="00674C66">
        <w:rPr>
          <w:b/>
          <w:bCs/>
        </w:rPr>
        <w:t>Spatial Profile of GBV Services in Mzimba</w:t>
      </w:r>
    </w:p>
    <w:p w14:paraId="192C5862" w14:textId="77777777" w:rsidR="00AA0AE8" w:rsidRPr="00AA0AE8" w:rsidRDefault="00AA0AE8" w:rsidP="00BC606F">
      <w:pPr>
        <w:spacing w:before="240" w:after="0"/>
        <w:jc w:val="both"/>
        <w:rPr>
          <w:lang w:val="en-GB"/>
        </w:rPr>
      </w:pPr>
      <w:r w:rsidRPr="00AA0AE8">
        <w:rPr>
          <w:lang w:val="en-GB"/>
        </w:rPr>
        <w:t xml:space="preserve">Balaka is characterised by a mix of </w:t>
      </w:r>
      <w:r w:rsidRPr="00AA0AE8">
        <w:rPr>
          <w:b/>
          <w:bCs/>
          <w:lang w:val="en-GB"/>
        </w:rPr>
        <w:t>moderate-to-high population density</w:t>
      </w:r>
      <w:r w:rsidRPr="00AA0AE8">
        <w:rPr>
          <w:lang w:val="en-GB"/>
        </w:rPr>
        <w:t xml:space="preserve"> along the central transport corridor and </w:t>
      </w:r>
      <w:r w:rsidRPr="00AA0AE8">
        <w:rPr>
          <w:b/>
          <w:bCs/>
          <w:lang w:val="en-GB"/>
        </w:rPr>
        <w:t>sparser settlements</w:t>
      </w:r>
      <w:r w:rsidRPr="00AA0AE8">
        <w:rPr>
          <w:lang w:val="en-GB"/>
        </w:rPr>
        <w:t xml:space="preserve"> in peripheral and upland areas:</w:t>
      </w:r>
    </w:p>
    <w:p w14:paraId="55476198" w14:textId="36E27FCA" w:rsidR="00AA0AE8" w:rsidRPr="00AA0AE8" w:rsidRDefault="00AA0AE8" w:rsidP="00BC606F">
      <w:pPr>
        <w:numPr>
          <w:ilvl w:val="0"/>
          <w:numId w:val="46"/>
        </w:numPr>
        <w:tabs>
          <w:tab w:val="num" w:pos="720"/>
        </w:tabs>
        <w:spacing w:after="0"/>
        <w:jc w:val="both"/>
        <w:rPr>
          <w:lang w:val="en-GB"/>
        </w:rPr>
      </w:pPr>
      <w:r w:rsidRPr="00AA0AE8">
        <w:rPr>
          <w:b/>
          <w:bCs/>
          <w:lang w:val="en-GB"/>
        </w:rPr>
        <w:t>Balaka had only 1</w:t>
      </w:r>
      <w:r w:rsidR="00BB7CFB">
        <w:rPr>
          <w:b/>
          <w:bCs/>
          <w:lang w:val="en-GB"/>
        </w:rPr>
        <w:t>1</w:t>
      </w:r>
      <w:r w:rsidRPr="00AA0AE8">
        <w:rPr>
          <w:b/>
          <w:bCs/>
          <w:lang w:val="en-GB"/>
        </w:rPr>
        <w:t xml:space="preserve"> mapped GBV service points</w:t>
      </w:r>
      <w:r w:rsidRPr="00AA0AE8">
        <w:rPr>
          <w:lang w:val="en-GB"/>
        </w:rPr>
        <w:t>, the lowest number among the five study districts.</w:t>
      </w:r>
    </w:p>
    <w:p w14:paraId="2E77F4B0" w14:textId="40C1969A" w:rsidR="00AA0AE8" w:rsidRPr="00AA0AE8" w:rsidRDefault="00AA0AE8" w:rsidP="00BC606F">
      <w:pPr>
        <w:numPr>
          <w:ilvl w:val="1"/>
          <w:numId w:val="46"/>
        </w:numPr>
        <w:tabs>
          <w:tab w:val="num" w:pos="1440"/>
        </w:tabs>
        <w:spacing w:after="0"/>
        <w:jc w:val="both"/>
        <w:rPr>
          <w:lang w:val="en-GB"/>
        </w:rPr>
      </w:pPr>
      <w:r w:rsidRPr="00AA0AE8">
        <w:rPr>
          <w:b/>
          <w:bCs/>
          <w:lang w:val="en-GB"/>
        </w:rPr>
        <w:t>TA Chanthunya:</w:t>
      </w:r>
      <w:r w:rsidRPr="00AA0AE8">
        <w:rPr>
          <w:lang w:val="en-GB"/>
        </w:rPr>
        <w:t xml:space="preserve"> </w:t>
      </w:r>
      <w:r w:rsidR="00121C75">
        <w:rPr>
          <w:lang w:val="en-GB"/>
        </w:rPr>
        <w:t>5</w:t>
      </w:r>
      <w:r w:rsidRPr="00AA0AE8">
        <w:rPr>
          <w:lang w:val="en-GB"/>
        </w:rPr>
        <w:t xml:space="preserve"> facilities (a mix of CVSUs, community-based structures, police VSU and health facilities).</w:t>
      </w:r>
    </w:p>
    <w:p w14:paraId="4AF2D010" w14:textId="7A734C11" w:rsidR="00AA0AE8" w:rsidRPr="00AA0AE8" w:rsidRDefault="00AA0AE8" w:rsidP="00BC606F">
      <w:pPr>
        <w:numPr>
          <w:ilvl w:val="1"/>
          <w:numId w:val="46"/>
        </w:numPr>
        <w:tabs>
          <w:tab w:val="num" w:pos="1440"/>
        </w:tabs>
        <w:spacing w:after="0"/>
        <w:jc w:val="both"/>
        <w:rPr>
          <w:lang w:val="en-GB"/>
        </w:rPr>
      </w:pPr>
      <w:r w:rsidRPr="00AA0AE8">
        <w:rPr>
          <w:b/>
          <w:bCs/>
          <w:lang w:val="en-GB"/>
        </w:rPr>
        <w:t>TA Phalula:</w:t>
      </w:r>
      <w:r w:rsidRPr="00AA0AE8">
        <w:rPr>
          <w:lang w:val="en-GB"/>
        </w:rPr>
        <w:t xml:space="preserve"> </w:t>
      </w:r>
      <w:r w:rsidR="00121C75">
        <w:rPr>
          <w:lang w:val="en-GB"/>
        </w:rPr>
        <w:t>6</w:t>
      </w:r>
      <w:r w:rsidRPr="00AA0AE8">
        <w:rPr>
          <w:lang w:val="en-GB"/>
        </w:rPr>
        <w:t xml:space="preserve"> facilities (health clinic, PVSU, CVSU and community structures).</w:t>
      </w:r>
    </w:p>
    <w:p w14:paraId="6024E4A1" w14:textId="77777777" w:rsidR="00AA0AE8" w:rsidRPr="00AA0AE8" w:rsidRDefault="00AA0AE8" w:rsidP="00BC606F">
      <w:pPr>
        <w:numPr>
          <w:ilvl w:val="0"/>
          <w:numId w:val="46"/>
        </w:numPr>
        <w:tabs>
          <w:tab w:val="num" w:pos="720"/>
        </w:tabs>
        <w:spacing w:after="0"/>
        <w:jc w:val="both"/>
        <w:rPr>
          <w:lang w:val="en-GB"/>
        </w:rPr>
      </w:pPr>
      <w:r w:rsidRPr="00AA0AE8">
        <w:rPr>
          <w:b/>
          <w:bCs/>
          <w:lang w:val="en-GB"/>
        </w:rPr>
        <w:t>Service distribution is thin and linear</w:t>
      </w:r>
      <w:r w:rsidRPr="00AA0AE8">
        <w:rPr>
          <w:lang w:val="en-GB"/>
        </w:rPr>
        <w:t>:</w:t>
      </w:r>
    </w:p>
    <w:p w14:paraId="0263E722" w14:textId="77777777" w:rsidR="00AA0AE8" w:rsidRPr="00AA0AE8" w:rsidRDefault="00AA0AE8" w:rsidP="00BC606F">
      <w:pPr>
        <w:numPr>
          <w:ilvl w:val="1"/>
          <w:numId w:val="46"/>
        </w:numPr>
        <w:tabs>
          <w:tab w:val="num" w:pos="1440"/>
        </w:tabs>
        <w:spacing w:after="0"/>
        <w:jc w:val="both"/>
        <w:rPr>
          <w:lang w:val="en-GB"/>
        </w:rPr>
      </w:pPr>
      <w:r w:rsidRPr="00AA0AE8">
        <w:rPr>
          <w:lang w:val="en-GB"/>
        </w:rPr>
        <w:t xml:space="preserve">Most GBV providers (health, PVSU, CVSU, women’s forums) are aligned along the main </w:t>
      </w:r>
      <w:r w:rsidRPr="00AA0AE8">
        <w:rPr>
          <w:b/>
          <w:bCs/>
          <w:lang w:val="en-GB"/>
        </w:rPr>
        <w:t>Balaka–Liwonde transport axis</w:t>
      </w:r>
      <w:r w:rsidRPr="00AA0AE8">
        <w:rPr>
          <w:lang w:val="en-GB"/>
        </w:rPr>
        <w:t>.</w:t>
      </w:r>
    </w:p>
    <w:p w14:paraId="4DA6B361" w14:textId="77777777" w:rsidR="00AA0AE8" w:rsidRPr="00AA0AE8" w:rsidRDefault="00AA0AE8" w:rsidP="00BC606F">
      <w:pPr>
        <w:numPr>
          <w:ilvl w:val="1"/>
          <w:numId w:val="46"/>
        </w:numPr>
        <w:tabs>
          <w:tab w:val="num" w:pos="1440"/>
        </w:tabs>
        <w:spacing w:after="0"/>
        <w:jc w:val="both"/>
        <w:rPr>
          <w:lang w:val="en-GB"/>
        </w:rPr>
      </w:pPr>
      <w:r w:rsidRPr="00AA0AE8">
        <w:rPr>
          <w:lang w:val="en-GB"/>
        </w:rPr>
        <w:t xml:space="preserve">Large interior and off-road villages in both TAs rely on </w:t>
      </w:r>
      <w:r w:rsidRPr="00AA0AE8">
        <w:rPr>
          <w:b/>
          <w:bCs/>
          <w:lang w:val="en-GB"/>
        </w:rPr>
        <w:t>distant service points</w:t>
      </w:r>
      <w:r w:rsidRPr="00AA0AE8">
        <w:rPr>
          <w:lang w:val="en-GB"/>
        </w:rPr>
        <w:t xml:space="preserve"> or must travel directly to Balaka Boma for specialised support.</w:t>
      </w:r>
    </w:p>
    <w:p w14:paraId="0F3C7AA4" w14:textId="7CE3D99D" w:rsidR="00AA0AE8" w:rsidRPr="00AA0AE8" w:rsidRDefault="00AA0AE8" w:rsidP="00BC606F">
      <w:pPr>
        <w:numPr>
          <w:ilvl w:val="0"/>
          <w:numId w:val="46"/>
        </w:numPr>
        <w:tabs>
          <w:tab w:val="num" w:pos="720"/>
        </w:tabs>
        <w:spacing w:after="0"/>
        <w:jc w:val="both"/>
        <w:rPr>
          <w:lang w:val="en-GB"/>
        </w:rPr>
      </w:pPr>
      <w:r w:rsidRPr="00AA0AE8">
        <w:rPr>
          <w:b/>
          <w:bCs/>
          <w:lang w:val="en-GB"/>
        </w:rPr>
        <w:t>Average travel time to the nearest GBV service</w:t>
      </w:r>
      <w:r w:rsidRPr="00AA0AE8">
        <w:rPr>
          <w:lang w:val="en-GB"/>
        </w:rPr>
        <w:t xml:space="preserve"> in the modelling for </w:t>
      </w:r>
      <w:r w:rsidRPr="00AA0AE8">
        <w:rPr>
          <w:b/>
          <w:bCs/>
          <w:lang w:val="en-GB"/>
        </w:rPr>
        <w:t>Chanthunya and Phalula is 73 minutes</w:t>
      </w:r>
      <w:r w:rsidRPr="00AA0AE8">
        <w:rPr>
          <w:lang w:val="en-GB"/>
        </w:rPr>
        <w:t xml:space="preserve">, placing Balaka among the </w:t>
      </w:r>
      <w:r w:rsidRPr="00AA0AE8">
        <w:rPr>
          <w:b/>
          <w:bCs/>
          <w:lang w:val="en-GB"/>
        </w:rPr>
        <w:t>highest travel-time profiles</w:t>
      </w:r>
      <w:r w:rsidRPr="00AA0AE8">
        <w:rPr>
          <w:lang w:val="en-GB"/>
        </w:rPr>
        <w:t xml:space="preserve"> in the study.</w:t>
      </w:r>
    </w:p>
    <w:p w14:paraId="1E39AD5D" w14:textId="77777777" w:rsidR="00AA0AE8" w:rsidRPr="00AA0AE8" w:rsidRDefault="00AA0AE8" w:rsidP="00BC606F">
      <w:pPr>
        <w:numPr>
          <w:ilvl w:val="1"/>
          <w:numId w:val="46"/>
        </w:numPr>
        <w:tabs>
          <w:tab w:val="num" w:pos="1440"/>
        </w:tabs>
        <w:spacing w:after="0"/>
        <w:jc w:val="both"/>
        <w:rPr>
          <w:lang w:val="en-GB"/>
        </w:rPr>
      </w:pPr>
      <w:r w:rsidRPr="00AA0AE8">
        <w:rPr>
          <w:lang w:val="en-GB"/>
        </w:rPr>
        <w:t>Households near the main road experience shorter, more predictable access.</w:t>
      </w:r>
    </w:p>
    <w:p w14:paraId="25BC7CB6" w14:textId="77777777" w:rsidR="00AA0AE8" w:rsidRPr="00AA0AE8" w:rsidRDefault="00AA0AE8" w:rsidP="00BC606F">
      <w:pPr>
        <w:numPr>
          <w:ilvl w:val="1"/>
          <w:numId w:val="46"/>
        </w:numPr>
        <w:tabs>
          <w:tab w:val="num" w:pos="1440"/>
        </w:tabs>
        <w:spacing w:after="0"/>
        <w:jc w:val="both"/>
        <w:rPr>
          <w:lang w:val="en-GB"/>
        </w:rPr>
      </w:pPr>
      <w:r w:rsidRPr="00AA0AE8">
        <w:rPr>
          <w:lang w:val="en-GB"/>
        </w:rPr>
        <w:t xml:space="preserve">Off-corridor, upland and scattered settlements often face </w:t>
      </w:r>
      <w:r w:rsidRPr="00AA0AE8">
        <w:rPr>
          <w:b/>
          <w:bCs/>
          <w:lang w:val="en-GB"/>
        </w:rPr>
        <w:t>&gt;1 hour</w:t>
      </w:r>
      <w:r w:rsidRPr="00AA0AE8">
        <w:rPr>
          <w:lang w:val="en-GB"/>
        </w:rPr>
        <w:t xml:space="preserve"> of travel per trip, particularly during the rainy season.</w:t>
      </w:r>
    </w:p>
    <w:p w14:paraId="4B09273C" w14:textId="77777777" w:rsidR="00AA0AE8" w:rsidRPr="00AA0AE8" w:rsidRDefault="00AA0AE8" w:rsidP="00BC606F">
      <w:pPr>
        <w:numPr>
          <w:ilvl w:val="0"/>
          <w:numId w:val="46"/>
        </w:numPr>
        <w:tabs>
          <w:tab w:val="num" w:pos="720"/>
        </w:tabs>
        <w:spacing w:after="0"/>
        <w:jc w:val="both"/>
        <w:rPr>
          <w:lang w:val="en-GB"/>
        </w:rPr>
      </w:pPr>
      <w:r w:rsidRPr="00AA0AE8">
        <w:rPr>
          <w:b/>
          <w:bCs/>
          <w:lang w:val="en-GB"/>
        </w:rPr>
        <w:t>Population density</w:t>
      </w:r>
      <w:r w:rsidRPr="00AA0AE8">
        <w:rPr>
          <w:lang w:val="en-GB"/>
        </w:rPr>
        <w:t xml:space="preserve"> in Balaka is </w:t>
      </w:r>
      <w:r w:rsidRPr="00AA0AE8">
        <w:rPr>
          <w:b/>
          <w:bCs/>
          <w:lang w:val="en-GB"/>
        </w:rPr>
        <w:t>moderate</w:t>
      </w:r>
      <w:r w:rsidRPr="00AA0AE8">
        <w:rPr>
          <w:lang w:val="en-GB"/>
        </w:rPr>
        <w:t xml:space="preserve">, with </w:t>
      </w:r>
      <w:r w:rsidRPr="00AA0AE8">
        <w:rPr>
          <w:b/>
          <w:bCs/>
          <w:lang w:val="en-GB"/>
        </w:rPr>
        <w:t>denser clusters around trading centres and the main corridor</w:t>
      </w:r>
      <w:r w:rsidRPr="00AA0AE8">
        <w:rPr>
          <w:lang w:val="en-GB"/>
        </w:rPr>
        <w:t xml:space="preserve"> and </w:t>
      </w:r>
      <w:r w:rsidRPr="00AA0AE8">
        <w:rPr>
          <w:b/>
          <w:bCs/>
          <w:lang w:val="en-GB"/>
        </w:rPr>
        <w:t>lower density in peripheral zones</w:t>
      </w:r>
      <w:r w:rsidRPr="00AA0AE8">
        <w:rPr>
          <w:lang w:val="en-GB"/>
        </w:rPr>
        <w:t>.</w:t>
      </w:r>
    </w:p>
    <w:p w14:paraId="39330FD3" w14:textId="77777777" w:rsidR="00AA0AE8" w:rsidRPr="00AA0AE8" w:rsidRDefault="00AA0AE8" w:rsidP="00BC606F">
      <w:pPr>
        <w:numPr>
          <w:ilvl w:val="1"/>
          <w:numId w:val="46"/>
        </w:numPr>
        <w:tabs>
          <w:tab w:val="num" w:pos="1440"/>
        </w:tabs>
        <w:spacing w:after="0"/>
        <w:jc w:val="both"/>
        <w:rPr>
          <w:lang w:val="en-GB"/>
        </w:rPr>
      </w:pPr>
      <w:r w:rsidRPr="00AA0AE8">
        <w:rPr>
          <w:lang w:val="en-GB"/>
        </w:rPr>
        <w:t xml:space="preserve">This means that a relatively small number of facilities shoulder large catchments along the corridor, while </w:t>
      </w:r>
      <w:r w:rsidRPr="00AA0AE8">
        <w:rPr>
          <w:b/>
          <w:bCs/>
          <w:lang w:val="en-GB"/>
        </w:rPr>
        <w:t>low-density but high-vulnerability communities</w:t>
      </w:r>
      <w:r w:rsidRPr="00AA0AE8">
        <w:rPr>
          <w:lang w:val="en-GB"/>
        </w:rPr>
        <w:t xml:space="preserve"> at the edges are significantly disadvantaged.</w:t>
      </w:r>
    </w:p>
    <w:p w14:paraId="76F2E21F" w14:textId="77777777" w:rsidR="00AA0AE8" w:rsidRPr="00AA0AE8" w:rsidRDefault="00AA0AE8" w:rsidP="00BC606F">
      <w:pPr>
        <w:numPr>
          <w:ilvl w:val="0"/>
          <w:numId w:val="46"/>
        </w:numPr>
        <w:tabs>
          <w:tab w:val="num" w:pos="720"/>
        </w:tabs>
        <w:spacing w:after="0"/>
        <w:jc w:val="both"/>
        <w:rPr>
          <w:lang w:val="en-GB"/>
        </w:rPr>
      </w:pPr>
      <w:r w:rsidRPr="00AA0AE8">
        <w:rPr>
          <w:b/>
          <w:bCs/>
          <w:lang w:val="en-GB"/>
        </w:rPr>
        <w:t>Transport cost bands</w:t>
      </w:r>
      <w:r w:rsidRPr="00AA0AE8">
        <w:rPr>
          <w:lang w:val="en-GB"/>
        </w:rPr>
        <w:t xml:space="preserve"> in Balaka align with the broader study pattern:</w:t>
      </w:r>
    </w:p>
    <w:p w14:paraId="5ED9C29C" w14:textId="44B8B425" w:rsidR="00AA0AE8" w:rsidRPr="00AA0AE8" w:rsidRDefault="00AA0AE8" w:rsidP="00BC606F">
      <w:pPr>
        <w:numPr>
          <w:ilvl w:val="1"/>
          <w:numId w:val="46"/>
        </w:numPr>
        <w:tabs>
          <w:tab w:val="num" w:pos="1440"/>
        </w:tabs>
        <w:spacing w:after="0"/>
        <w:jc w:val="both"/>
        <w:rPr>
          <w:lang w:val="en-GB"/>
        </w:rPr>
      </w:pPr>
      <w:r w:rsidRPr="00AA0AE8">
        <w:rPr>
          <w:lang w:val="en-GB"/>
        </w:rPr>
        <w:t xml:space="preserve">Many survivors in Chanthunya and Phalula fall into the </w:t>
      </w:r>
      <w:r w:rsidRPr="00AA0AE8">
        <w:rPr>
          <w:b/>
          <w:bCs/>
          <w:lang w:val="en-GB"/>
        </w:rPr>
        <w:t xml:space="preserve">MWK </w:t>
      </w:r>
      <w:r w:rsidR="007754AD">
        <w:rPr>
          <w:b/>
          <w:bCs/>
          <w:lang w:val="en-GB"/>
        </w:rPr>
        <w:t>6</w:t>
      </w:r>
      <w:r w:rsidRPr="00AA0AE8">
        <w:rPr>
          <w:b/>
          <w:bCs/>
          <w:lang w:val="en-GB"/>
        </w:rPr>
        <w:t>,000–1</w:t>
      </w:r>
      <w:r w:rsidR="007754AD">
        <w:rPr>
          <w:b/>
          <w:bCs/>
          <w:lang w:val="en-GB"/>
        </w:rPr>
        <w:t>0</w:t>
      </w:r>
      <w:r w:rsidRPr="00AA0AE8">
        <w:rPr>
          <w:b/>
          <w:bCs/>
          <w:lang w:val="en-GB"/>
        </w:rPr>
        <w:t>,000 per trip</w:t>
      </w:r>
      <w:r w:rsidRPr="00AA0AE8">
        <w:rPr>
          <w:lang w:val="en-GB"/>
        </w:rPr>
        <w:t xml:space="preserve"> range, with higher effective costs for multi-stage journeys (village </w:t>
      </w:r>
      <w:r w:rsidRPr="00AA0AE8">
        <w:rPr>
          <w:rFonts w:ascii="Arial" w:hAnsi="Arial" w:cs="Arial"/>
          <w:color w:val="FF00FF"/>
          <w:lang w:val="en-GB"/>
        </w:rPr>
        <w:t>→</w:t>
      </w:r>
      <w:r w:rsidRPr="00AA0AE8">
        <w:rPr>
          <w:lang w:val="en-GB"/>
        </w:rPr>
        <w:t xml:space="preserve"> TA centre </w:t>
      </w:r>
      <w:r w:rsidRPr="00AA0AE8">
        <w:rPr>
          <w:rFonts w:ascii="Arial" w:hAnsi="Arial" w:cs="Arial"/>
          <w:color w:val="FF00FF"/>
          <w:lang w:val="en-GB"/>
        </w:rPr>
        <w:t>→</w:t>
      </w:r>
      <w:r w:rsidRPr="00AA0AE8">
        <w:rPr>
          <w:lang w:val="en-GB"/>
        </w:rPr>
        <w:t xml:space="preserve"> Balaka Boma).</w:t>
      </w:r>
    </w:p>
    <w:p w14:paraId="630BC48B" w14:textId="77777777" w:rsidR="00AA0AE8" w:rsidRPr="00AA0AE8" w:rsidRDefault="00AA0AE8" w:rsidP="00BC606F">
      <w:pPr>
        <w:numPr>
          <w:ilvl w:val="1"/>
          <w:numId w:val="46"/>
        </w:numPr>
        <w:tabs>
          <w:tab w:val="num" w:pos="1440"/>
        </w:tabs>
        <w:spacing w:after="0"/>
        <w:jc w:val="both"/>
        <w:rPr>
          <w:lang w:val="en-GB"/>
        </w:rPr>
      </w:pPr>
      <w:r w:rsidRPr="00AA0AE8">
        <w:rPr>
          <w:lang w:val="en-GB"/>
        </w:rPr>
        <w:t xml:space="preserve">Repeated travel for </w:t>
      </w:r>
      <w:r w:rsidRPr="00AA0AE8">
        <w:rPr>
          <w:b/>
          <w:bCs/>
          <w:lang w:val="en-GB"/>
        </w:rPr>
        <w:t>health follow-up</w:t>
      </w:r>
      <w:r w:rsidRPr="00AA0AE8">
        <w:rPr>
          <w:lang w:val="en-GB"/>
        </w:rPr>
        <w:t xml:space="preserve">, </w:t>
      </w:r>
      <w:r w:rsidRPr="00AA0AE8">
        <w:rPr>
          <w:b/>
          <w:bCs/>
          <w:lang w:val="en-GB"/>
        </w:rPr>
        <w:t>police statements</w:t>
      </w:r>
      <w:r w:rsidRPr="00AA0AE8">
        <w:rPr>
          <w:lang w:val="en-GB"/>
        </w:rPr>
        <w:t xml:space="preserve">, and </w:t>
      </w:r>
      <w:r w:rsidRPr="00AA0AE8">
        <w:rPr>
          <w:b/>
          <w:bCs/>
          <w:lang w:val="en-GB"/>
        </w:rPr>
        <w:t>court appearances</w:t>
      </w:r>
      <w:r w:rsidRPr="00AA0AE8">
        <w:rPr>
          <w:lang w:val="en-GB"/>
        </w:rPr>
        <w:t xml:space="preserve"> quickly becomes unaffordable for poor households.</w:t>
      </w:r>
    </w:p>
    <w:p w14:paraId="205D9BA9" w14:textId="77777777" w:rsidR="008D3FD2" w:rsidRDefault="00222385" w:rsidP="008D3FD2">
      <w:pPr>
        <w:keepNext/>
        <w:jc w:val="right"/>
      </w:pPr>
      <w:r>
        <w:rPr>
          <w:noProof/>
          <w:lang w:val="en-GB"/>
        </w:rPr>
        <w:drawing>
          <wp:inline distT="0" distB="0" distL="0" distR="0" wp14:anchorId="1956131D" wp14:editId="5EC5C388">
            <wp:extent cx="3132000" cy="4071098"/>
            <wp:effectExtent l="0" t="0" r="0" b="5715"/>
            <wp:docPr id="494899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899206" name="Picture 49489920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32000" cy="4071098"/>
                    </a:xfrm>
                    <a:prstGeom prst="rect">
                      <a:avLst/>
                    </a:prstGeom>
                  </pic:spPr>
                </pic:pic>
              </a:graphicData>
            </a:graphic>
          </wp:inline>
        </w:drawing>
      </w:r>
    </w:p>
    <w:p w14:paraId="3555ABAE" w14:textId="7B2BAD7A" w:rsidR="00466495" w:rsidRPr="008D3FD2" w:rsidRDefault="008D3FD2" w:rsidP="008D3FD2">
      <w:pPr>
        <w:pStyle w:val="Caption"/>
        <w:rPr>
          <w:rFonts w:ascii="Arial" w:hAnsi="Arial" w:cs="Arial"/>
          <w:b/>
          <w:bCs w:val="0"/>
          <w:lang w:val="en-GB"/>
        </w:rPr>
      </w:pPr>
      <w:r w:rsidRPr="008D3FD2">
        <w:rPr>
          <w:rFonts w:ascii="Arial" w:hAnsi="Arial" w:cs="Arial"/>
          <w:b/>
          <w:bCs w:val="0"/>
        </w:rPr>
        <w:t xml:space="preserve">Figure </w:t>
      </w:r>
      <w:r w:rsidRPr="008D3FD2">
        <w:rPr>
          <w:rFonts w:ascii="Arial" w:hAnsi="Arial" w:cs="Arial"/>
          <w:b/>
          <w:bCs w:val="0"/>
        </w:rPr>
        <w:fldChar w:fldCharType="begin"/>
      </w:r>
      <w:r w:rsidRPr="008D3FD2">
        <w:rPr>
          <w:rFonts w:ascii="Arial" w:hAnsi="Arial" w:cs="Arial"/>
          <w:b/>
          <w:bCs w:val="0"/>
        </w:rPr>
        <w:instrText xml:space="preserve"> SEQ Figure \* ARABIC </w:instrText>
      </w:r>
      <w:r w:rsidRPr="008D3FD2">
        <w:rPr>
          <w:rFonts w:ascii="Arial" w:hAnsi="Arial" w:cs="Arial"/>
          <w:b/>
          <w:bCs w:val="0"/>
        </w:rPr>
        <w:fldChar w:fldCharType="separate"/>
      </w:r>
      <w:r w:rsidRPr="008D3FD2">
        <w:rPr>
          <w:rFonts w:ascii="Arial" w:hAnsi="Arial" w:cs="Arial"/>
          <w:b/>
          <w:bCs w:val="0"/>
          <w:noProof/>
        </w:rPr>
        <w:t>1</w:t>
      </w:r>
      <w:r w:rsidRPr="008D3FD2">
        <w:rPr>
          <w:rFonts w:ascii="Arial" w:hAnsi="Arial" w:cs="Arial"/>
          <w:b/>
          <w:bCs w:val="0"/>
        </w:rPr>
        <w:fldChar w:fldCharType="end"/>
      </w:r>
      <w:r w:rsidRPr="008D3FD2">
        <w:rPr>
          <w:rFonts w:ascii="Arial" w:hAnsi="Arial" w:cs="Arial"/>
          <w:b/>
          <w:bCs w:val="0"/>
        </w:rPr>
        <w:t>: Distribution of GBV Service Providers in TAs Chanthunya &amp; Phalula</w:t>
      </w:r>
    </w:p>
    <w:p w14:paraId="3EC6255F" w14:textId="6E321610" w:rsidR="00CF1948" w:rsidRDefault="00CF1948" w:rsidP="00CF1948">
      <w:pPr>
        <w:jc w:val="both"/>
        <w:rPr>
          <w:lang w:val="en-GB"/>
        </w:rPr>
      </w:pPr>
      <w:r w:rsidRPr="00A05C8E">
        <w:rPr>
          <w:b/>
          <w:bCs/>
          <w:color w:val="7030A0"/>
          <w:lang w:val="en-GB"/>
        </w:rPr>
        <w:lastRenderedPageBreak/>
        <w:t>Implication:</w:t>
      </w:r>
      <w:r w:rsidRPr="00A05C8E">
        <w:rPr>
          <w:lang w:val="en-GB"/>
        </w:rPr>
        <w:br/>
      </w:r>
      <w:r w:rsidRPr="00F82952">
        <w:rPr>
          <w:lang w:val="en-GB"/>
        </w:rPr>
        <w:t>With only 1</w:t>
      </w:r>
      <w:r w:rsidR="00BB7CFB">
        <w:rPr>
          <w:lang w:val="en-GB"/>
        </w:rPr>
        <w:t>1</w:t>
      </w:r>
      <w:r w:rsidRPr="00F82952">
        <w:rPr>
          <w:lang w:val="en-GB"/>
        </w:rPr>
        <w:t xml:space="preserve"> facilities district-wide and long travel times across both TAs, Balaka is structurally vulnerable to service interruption and survivor attrition</w:t>
      </w:r>
      <w:r w:rsidRPr="004B62CA">
        <w:rPr>
          <w:lang w:val="en-GB"/>
        </w:rPr>
        <w:t>.</w:t>
      </w:r>
    </w:p>
    <w:p w14:paraId="13897572" w14:textId="6C240F1C" w:rsidR="004A7AE8" w:rsidRPr="00893141" w:rsidRDefault="004A7AE8" w:rsidP="00285338">
      <w:pPr>
        <w:pStyle w:val="Heading2"/>
        <w:rPr>
          <w:b/>
          <w:bCs/>
        </w:rPr>
      </w:pPr>
      <w:r w:rsidRPr="00893141">
        <w:rPr>
          <w:b/>
          <w:bCs/>
        </w:rPr>
        <w:t>Key Accessibility Gaps and Systems Challenges</w:t>
      </w:r>
    </w:p>
    <w:p w14:paraId="0E3A2AB0" w14:textId="59130F70" w:rsidR="0036668A" w:rsidRDefault="003F5AAA" w:rsidP="00057304">
      <w:pPr>
        <w:jc w:val="both"/>
      </w:pPr>
      <w:r w:rsidRPr="003F5AAA">
        <w:t>The combined spatial, referral and case-management data point</w:t>
      </w:r>
      <w:r w:rsidR="00154E23">
        <w:t>s</w:t>
      </w:r>
      <w:r w:rsidRPr="003F5AAA">
        <w:t xml:space="preserve"> to a GBV system that is present and active across the </w:t>
      </w:r>
      <w:r w:rsidR="00BC25BA">
        <w:t>two TAs</w:t>
      </w:r>
      <w:r w:rsidRPr="003F5AAA">
        <w:t>, but structurally uneven, costly to access, and weakest where survivors need it most</w:t>
      </w:r>
      <w:r w:rsidR="00BC606F">
        <w:t xml:space="preserve"> </w:t>
      </w:r>
      <w:r w:rsidRPr="003F5AAA">
        <w:t>at the level of justice and long-term protection. Five interlinked systems challenges stand out.</w:t>
      </w:r>
    </w:p>
    <w:p w14:paraId="3A31D9A2" w14:textId="16A20E2E" w:rsidR="0036668A" w:rsidRDefault="0036668A" w:rsidP="003F5AAA">
      <w:pPr>
        <w:pStyle w:val="ListParagraph"/>
        <w:numPr>
          <w:ilvl w:val="0"/>
          <w:numId w:val="43"/>
        </w:numPr>
        <w:jc w:val="both"/>
      </w:pPr>
      <w:r w:rsidRPr="0036668A">
        <w:t xml:space="preserve">Spatial inequity across and within TAs was pronounced, with GBV services concentrated in a small number of </w:t>
      </w:r>
      <w:r w:rsidR="0012294D">
        <w:t>service providers</w:t>
      </w:r>
      <w:r w:rsidRPr="0036668A">
        <w:t xml:space="preserve"> while large peripheral areas</w:t>
      </w:r>
      <w:r w:rsidR="0012294D">
        <w:t xml:space="preserve"> </w:t>
      </w:r>
      <w:r w:rsidRPr="0036668A">
        <w:t>remained underserved, resulting in access-driven under-reporting rather than true differences in GBV incidence.</w:t>
      </w:r>
    </w:p>
    <w:p w14:paraId="2DF73FB4" w14:textId="0493BD56" w:rsidR="00F06802" w:rsidRDefault="00F06802" w:rsidP="003F5AAA">
      <w:pPr>
        <w:pStyle w:val="ListParagraph"/>
        <w:numPr>
          <w:ilvl w:val="0"/>
          <w:numId w:val="43"/>
        </w:numPr>
        <w:jc w:val="both"/>
      </w:pPr>
      <w:r w:rsidRPr="00F06802">
        <w:t>Long travel distances (</w:t>
      </w:r>
      <w:r w:rsidR="004B0AF1">
        <w:t>20</w:t>
      </w:r>
      <w:r w:rsidRPr="00F06802">
        <w:t>–3</w:t>
      </w:r>
      <w:r w:rsidR="009821B1">
        <w:t>0</w:t>
      </w:r>
      <w:r w:rsidRPr="00F06802">
        <w:t xml:space="preserve"> km), extended travel times (</w:t>
      </w:r>
      <w:r w:rsidR="004D4DBE">
        <w:t>73</w:t>
      </w:r>
      <w:r w:rsidRPr="00F06802">
        <w:t xml:space="preserve"> minutes), and high transport costs (MWK </w:t>
      </w:r>
      <w:r w:rsidR="004D4DBE">
        <w:t>6</w:t>
      </w:r>
      <w:r w:rsidRPr="00F06802">
        <w:t>,000–</w:t>
      </w:r>
      <w:r w:rsidR="004D4DBE">
        <w:t>10</w:t>
      </w:r>
      <w:r w:rsidR="00AD60AD">
        <w:t>,000</w:t>
      </w:r>
      <w:r w:rsidRPr="00F06802">
        <w:t xml:space="preserve"> per trip) acted as structural filters that disproportionately excluded poor, rural and remote survivors</w:t>
      </w:r>
      <w:r w:rsidR="003518F2">
        <w:t xml:space="preserve"> </w:t>
      </w:r>
      <w:r w:rsidRPr="00F06802">
        <w:t xml:space="preserve">particularly in far-remote </w:t>
      </w:r>
      <w:r w:rsidR="00093687">
        <w:t xml:space="preserve">locations </w:t>
      </w:r>
      <w:r w:rsidRPr="00F06802">
        <w:t>from accessing GBV services.</w:t>
      </w:r>
    </w:p>
    <w:p w14:paraId="5A3A8906" w14:textId="5D8BE567" w:rsidR="00F06802" w:rsidRDefault="000D3605" w:rsidP="003F5AAA">
      <w:pPr>
        <w:pStyle w:val="ListParagraph"/>
        <w:numPr>
          <w:ilvl w:val="0"/>
          <w:numId w:val="43"/>
        </w:numPr>
        <w:jc w:val="both"/>
      </w:pPr>
      <w:r w:rsidRPr="000D3605">
        <w:t>While counselling and basic support were widely available, specialised GBV services</w:t>
      </w:r>
      <w:r w:rsidR="00086781">
        <w:t xml:space="preserve"> </w:t>
      </w:r>
      <w:r w:rsidRPr="000D3605">
        <w:t>including forensic care, legal aid and OSCs</w:t>
      </w:r>
      <w:r w:rsidR="00086781">
        <w:t xml:space="preserve"> </w:t>
      </w:r>
      <w:r w:rsidRPr="000D3605">
        <w:t xml:space="preserve">were sparse and district-based, and the justice system remained the weakest link, with magistrate courts resolving only 25% of cases and lacking criminal jurisdiction at </w:t>
      </w:r>
      <w:r w:rsidR="00086781">
        <w:t>2</w:t>
      </w:r>
      <w:r w:rsidR="00086781" w:rsidRPr="00086781">
        <w:rPr>
          <w:vertAlign w:val="superscript"/>
        </w:rPr>
        <w:t>nd</w:t>
      </w:r>
      <w:r w:rsidR="00086781">
        <w:t>/3</w:t>
      </w:r>
      <w:r w:rsidR="00086781" w:rsidRPr="00086781">
        <w:rPr>
          <w:vertAlign w:val="superscript"/>
        </w:rPr>
        <w:t>rd</w:t>
      </w:r>
      <w:r w:rsidR="00086781">
        <w:t xml:space="preserve"> grade magistrate </w:t>
      </w:r>
      <w:r w:rsidRPr="000D3605">
        <w:t>level.</w:t>
      </w:r>
    </w:p>
    <w:p w14:paraId="3092BA9E" w14:textId="67A7EF76" w:rsidR="0024504B" w:rsidRDefault="0024504B" w:rsidP="003F5AAA">
      <w:pPr>
        <w:pStyle w:val="ListParagraph"/>
        <w:numPr>
          <w:ilvl w:val="0"/>
          <w:numId w:val="43"/>
        </w:numPr>
        <w:jc w:val="both"/>
      </w:pPr>
      <w:r w:rsidRPr="0024504B">
        <w:t>Referral chains exhibited a steep attrition curve, where most cases originated and were resolved at community, health and police levels, but survivor engagement dropped sharply as cases moved toward the justice system due to distance, repeated travel requirements, costs and weak feedback loops.</w:t>
      </w:r>
    </w:p>
    <w:p w14:paraId="684A686E" w14:textId="2D4BF5BE" w:rsidR="0024504B" w:rsidRDefault="0024504B" w:rsidP="003F5AAA">
      <w:pPr>
        <w:pStyle w:val="ListParagraph"/>
        <w:numPr>
          <w:ilvl w:val="0"/>
          <w:numId w:val="43"/>
        </w:numPr>
        <w:jc w:val="both"/>
      </w:pPr>
      <w:r w:rsidRPr="0024504B">
        <w:t>GBV information systems were fragmented across paper and digital tools, lacked unique case identifiers, applied inconsistent definitions of “case” and “resolved,” and suffered from missing disaggregation</w:t>
      </w:r>
      <w:r w:rsidR="000A5F31">
        <w:t xml:space="preserve">, </w:t>
      </w:r>
      <w:r w:rsidRPr="0024504B">
        <w:t>resulting in unreliable totals, untraceable survivor pathways and limited capacity for accountability or learning.</w:t>
      </w:r>
    </w:p>
    <w:p w14:paraId="110947BE" w14:textId="2D04E157" w:rsidR="0024504B" w:rsidRDefault="002F4B60" w:rsidP="003F5AAA">
      <w:pPr>
        <w:pStyle w:val="ListParagraph"/>
        <w:numPr>
          <w:ilvl w:val="0"/>
          <w:numId w:val="43"/>
        </w:numPr>
        <w:jc w:val="both"/>
      </w:pPr>
      <w:r w:rsidRPr="002F4B60">
        <w:t>Survivor outcomes were shaped by interconnected location</w:t>
      </w:r>
      <w:r w:rsidR="00B97B46">
        <w:t xml:space="preserve"> </w:t>
      </w:r>
      <w:r w:rsidR="00B97B46" w:rsidRPr="002F4B60">
        <w:t>constraints</w:t>
      </w:r>
      <w:r w:rsidR="00B97B46">
        <w:t xml:space="preserve"> </w:t>
      </w:r>
      <w:r w:rsidRPr="002F4B60">
        <w:t xml:space="preserve">determining physical access, income determining ability to follow through, service </w:t>
      </w:r>
      <w:r w:rsidRPr="002F4B60">
        <w:t>type determining case trajectory, and weak data systems obscuring gaps</w:t>
      </w:r>
      <w:r w:rsidR="00382EC8">
        <w:t xml:space="preserve">, </w:t>
      </w:r>
      <w:r w:rsidRPr="002F4B60">
        <w:t>highlighting the need for simultaneous action on spatial equity, affordability, service depth, referral linkages and data integration.</w:t>
      </w:r>
    </w:p>
    <w:p w14:paraId="42C24132" w14:textId="760C5C8C" w:rsidR="00E00639" w:rsidRPr="00E00639" w:rsidRDefault="00E00639" w:rsidP="00E30036">
      <w:pPr>
        <w:pStyle w:val="ListParagraph"/>
        <w:numPr>
          <w:ilvl w:val="0"/>
          <w:numId w:val="43"/>
        </w:numPr>
        <w:jc w:val="both"/>
      </w:pPr>
      <w:r>
        <w:t>E</w:t>
      </w:r>
      <w:r w:rsidRPr="00E00639">
        <w:t>ven before considering communication, attitudinal or financial barriers, around one in three GBV service points explicitly reported that their physical infrastructure is not accessible to persons with disabilities, and only about half reported meeting basic accessibility standards (e.g. ramps, wide entrances, accessible toilets).</w:t>
      </w:r>
    </w:p>
    <w:p w14:paraId="6648F123" w14:textId="627F6733" w:rsidR="00803E12" w:rsidRPr="00893141" w:rsidRDefault="00285338" w:rsidP="00285338">
      <w:pPr>
        <w:pStyle w:val="Heading2"/>
        <w:rPr>
          <w:b/>
          <w:bCs/>
        </w:rPr>
      </w:pPr>
      <w:r w:rsidRPr="00893141">
        <w:rPr>
          <w:b/>
          <w:bCs/>
        </w:rPr>
        <w:t xml:space="preserve">Policy </w:t>
      </w:r>
      <w:r w:rsidR="00C830EA">
        <w:rPr>
          <w:b/>
          <w:bCs/>
        </w:rPr>
        <w:t>Recommendations</w:t>
      </w:r>
      <w:r w:rsidRPr="00893141">
        <w:rPr>
          <w:b/>
          <w:bCs/>
        </w:rPr>
        <w:t xml:space="preserve"> </w:t>
      </w:r>
    </w:p>
    <w:p w14:paraId="61169847" w14:textId="61031E31" w:rsidR="00285338" w:rsidRPr="00285338" w:rsidRDefault="00285338" w:rsidP="00285338">
      <w:pPr>
        <w:rPr>
          <w:b/>
          <w:bCs/>
          <w:color w:val="CC00CC"/>
          <w:lang w:val="en-GB"/>
        </w:rPr>
      </w:pPr>
      <w:r w:rsidRPr="00285338">
        <w:rPr>
          <w:b/>
          <w:bCs/>
          <w:color w:val="CC00CC"/>
          <w:lang w:val="en-GB"/>
        </w:rPr>
        <w:t xml:space="preserve">Policy Option 1: </w:t>
      </w:r>
      <w:r w:rsidR="003E13A2" w:rsidRPr="003E13A2">
        <w:rPr>
          <w:b/>
          <w:bCs/>
          <w:color w:val="CC00CC"/>
        </w:rPr>
        <w:t>Mobile GBV Justice and Protection Services in Chanthunya and Phalula</w:t>
      </w:r>
    </w:p>
    <w:p w14:paraId="7D4735F1" w14:textId="77777777" w:rsidR="00C93ADF" w:rsidRPr="00C93ADF" w:rsidRDefault="00C93ADF" w:rsidP="00C93ADF">
      <w:pPr>
        <w:jc w:val="both"/>
        <w:rPr>
          <w:lang w:val="en-GB"/>
        </w:rPr>
      </w:pPr>
      <w:r w:rsidRPr="00C93ADF">
        <w:rPr>
          <w:lang w:val="en-GB"/>
        </w:rPr>
        <w:t xml:space="preserve">Deploy </w:t>
      </w:r>
      <w:r w:rsidRPr="00C93ADF">
        <w:rPr>
          <w:b/>
          <w:bCs/>
          <w:lang w:val="en-GB"/>
        </w:rPr>
        <w:t>mobile court and mobile PVSU/legal outreach teams</w:t>
      </w:r>
      <w:r w:rsidRPr="00C93ADF">
        <w:rPr>
          <w:lang w:val="en-GB"/>
        </w:rPr>
        <w:t xml:space="preserve"> on a scheduled basis to high-burden but remote zones in both TAs. These teams would provide </w:t>
      </w:r>
      <w:r w:rsidRPr="00C93ADF">
        <w:rPr>
          <w:b/>
          <w:bCs/>
          <w:lang w:val="en-GB"/>
        </w:rPr>
        <w:t>statement-taking, basic legal counselling, case follow-up and coordinated sessions with police and social welfare</w:t>
      </w:r>
      <w:r w:rsidRPr="00C93ADF">
        <w:rPr>
          <w:lang w:val="en-GB"/>
        </w:rPr>
        <w:t xml:space="preserve"> closer to survivors’ homes.</w:t>
      </w:r>
    </w:p>
    <w:p w14:paraId="2FED6978" w14:textId="77777777" w:rsidR="00C93ADF" w:rsidRPr="00C93ADF" w:rsidRDefault="00C93ADF" w:rsidP="00802433">
      <w:pPr>
        <w:spacing w:after="0"/>
        <w:rPr>
          <w:lang w:val="en-GB"/>
        </w:rPr>
      </w:pPr>
      <w:r w:rsidRPr="00C93ADF">
        <w:rPr>
          <w:b/>
          <w:bCs/>
          <w:lang w:val="en-GB"/>
        </w:rPr>
        <w:t>Advantages:</w:t>
      </w:r>
      <w:r w:rsidRPr="00C93ADF">
        <w:rPr>
          <w:lang w:val="en-GB"/>
        </w:rPr>
        <w:t xml:space="preserve"> Reduces long travel time, encourages early reporting, increases likelihood of main cases reaching the justice system.</w:t>
      </w:r>
    </w:p>
    <w:p w14:paraId="46825584" w14:textId="77777777" w:rsidR="00C93ADF" w:rsidRPr="00C93ADF" w:rsidRDefault="00C93ADF" w:rsidP="00BC606F">
      <w:pPr>
        <w:rPr>
          <w:lang w:val="en-GB"/>
        </w:rPr>
      </w:pPr>
      <w:r w:rsidRPr="00C93ADF">
        <w:rPr>
          <w:b/>
          <w:bCs/>
          <w:lang w:val="en-GB"/>
        </w:rPr>
        <w:t>Equity impact:</w:t>
      </w:r>
      <w:r w:rsidRPr="00C93ADF">
        <w:rPr>
          <w:lang w:val="en-GB"/>
        </w:rPr>
        <w:t xml:space="preserve"> Very high for </w:t>
      </w:r>
      <w:r w:rsidRPr="00C93ADF">
        <w:rPr>
          <w:b/>
          <w:bCs/>
          <w:lang w:val="en-GB"/>
        </w:rPr>
        <w:t>remote, low-income and female-headed households</w:t>
      </w:r>
      <w:r w:rsidRPr="00C93ADF">
        <w:rPr>
          <w:lang w:val="en-GB"/>
        </w:rPr>
        <w:t>.</w:t>
      </w:r>
    </w:p>
    <w:p w14:paraId="2113962A" w14:textId="0E1B62CE" w:rsidR="00285338" w:rsidRPr="00285338" w:rsidRDefault="00285338" w:rsidP="00285338">
      <w:pPr>
        <w:rPr>
          <w:b/>
          <w:bCs/>
          <w:color w:val="CC00CC"/>
          <w:lang w:val="en-GB"/>
        </w:rPr>
      </w:pPr>
      <w:r w:rsidRPr="00285338">
        <w:rPr>
          <w:b/>
          <w:bCs/>
          <w:color w:val="CC00CC"/>
          <w:lang w:val="en-GB"/>
        </w:rPr>
        <w:t xml:space="preserve">Policy Option </w:t>
      </w:r>
      <w:r w:rsidR="00AD30BC">
        <w:rPr>
          <w:b/>
          <w:bCs/>
          <w:color w:val="CC00CC"/>
          <w:lang w:val="en-GB"/>
        </w:rPr>
        <w:t>2</w:t>
      </w:r>
      <w:r w:rsidRPr="00285338">
        <w:rPr>
          <w:b/>
          <w:bCs/>
          <w:color w:val="CC00CC"/>
          <w:lang w:val="en-GB"/>
        </w:rPr>
        <w:t xml:space="preserve">: </w:t>
      </w:r>
      <w:r w:rsidR="00092F88" w:rsidRPr="00092F88">
        <w:rPr>
          <w:b/>
          <w:bCs/>
          <w:color w:val="CC00CC"/>
        </w:rPr>
        <w:t>Establish a Sustainable Survivor Support Fund (SSF) and Accompaniment Mechanism</w:t>
      </w:r>
    </w:p>
    <w:p w14:paraId="2ADFE3D3" w14:textId="74CC9FC3" w:rsidR="00431537" w:rsidRPr="00431537" w:rsidRDefault="00431537" w:rsidP="00D04BBC">
      <w:pPr>
        <w:jc w:val="both"/>
      </w:pPr>
      <w:r w:rsidRPr="00431537">
        <w:t>With long travel times (73 minutes) and high transport costs common in Chanthunya and Phalula, Balaka District requires a sustainable Survivor Support Fund (SSF) to mitigate severe economic barriers to GBV service access. The SSF should pool district contributions, donor seed support, private-sector CSR funds and community-driven IGAs, ensuring long-term viability. Structured transport vouchers and community-based accompaniment would reduce dropout during referrals and court proceedings</w:t>
      </w:r>
      <w:r w:rsidR="00BC606F">
        <w:t xml:space="preserve"> </w:t>
      </w:r>
      <w:r w:rsidRPr="00431537">
        <w:t>especially critical in a district with only 14 GBV facilities and high dependence on the Balaka Boma service hub. A sustainably financed SSF would significantly improve survivor retention across the referral chain.</w:t>
      </w:r>
    </w:p>
    <w:p w14:paraId="07748128" w14:textId="77ED0F04" w:rsidR="00285338" w:rsidRDefault="00285338" w:rsidP="00D04BBC">
      <w:pPr>
        <w:jc w:val="both"/>
        <w:rPr>
          <w:lang w:val="en-GB"/>
        </w:rPr>
      </w:pPr>
      <w:r w:rsidRPr="00285338">
        <w:rPr>
          <w:b/>
          <w:bCs/>
          <w:lang w:val="en-GB"/>
        </w:rPr>
        <w:t>Advantages:</w:t>
      </w:r>
      <w:r w:rsidRPr="00285338">
        <w:rPr>
          <w:lang w:val="en-GB"/>
        </w:rPr>
        <w:t xml:space="preserve"> Reduces financial barriers; increases court case follow-through.</w:t>
      </w:r>
      <w:r w:rsidRPr="00285338">
        <w:rPr>
          <w:lang w:val="en-GB"/>
        </w:rPr>
        <w:br/>
      </w:r>
      <w:r w:rsidRPr="00285338">
        <w:rPr>
          <w:b/>
          <w:bCs/>
          <w:lang w:val="en-GB"/>
        </w:rPr>
        <w:t>Equity:</w:t>
      </w:r>
      <w:r w:rsidRPr="00285338">
        <w:rPr>
          <w:lang w:val="en-GB"/>
        </w:rPr>
        <w:t xml:space="preserve"> High positive impact on the poorest households.</w:t>
      </w:r>
    </w:p>
    <w:p w14:paraId="310022B0" w14:textId="5EC0AB07" w:rsidR="00AD30BC" w:rsidRPr="00285338" w:rsidRDefault="00AD30BC" w:rsidP="00AD30BC">
      <w:pPr>
        <w:rPr>
          <w:b/>
          <w:bCs/>
          <w:color w:val="CC00CC"/>
          <w:lang w:val="en-GB"/>
        </w:rPr>
      </w:pPr>
      <w:r w:rsidRPr="00285338">
        <w:rPr>
          <w:b/>
          <w:bCs/>
          <w:color w:val="CC00CC"/>
          <w:lang w:val="en-GB"/>
        </w:rPr>
        <w:lastRenderedPageBreak/>
        <w:t xml:space="preserve">Policy Option </w:t>
      </w:r>
      <w:r>
        <w:rPr>
          <w:b/>
          <w:bCs/>
          <w:color w:val="CC00CC"/>
          <w:lang w:val="en-GB"/>
        </w:rPr>
        <w:t>3</w:t>
      </w:r>
      <w:r w:rsidRPr="00285338">
        <w:rPr>
          <w:b/>
          <w:bCs/>
          <w:color w:val="CC00CC"/>
          <w:lang w:val="en-GB"/>
        </w:rPr>
        <w:t xml:space="preserve">: </w:t>
      </w:r>
      <w:r w:rsidR="00632A8D">
        <w:rPr>
          <w:b/>
          <w:bCs/>
          <w:color w:val="CC00CC"/>
          <w:lang w:val="en-GB"/>
        </w:rPr>
        <w:t>Co-design u</w:t>
      </w:r>
      <w:r w:rsidRPr="00285338">
        <w:rPr>
          <w:b/>
          <w:bCs/>
          <w:color w:val="CC00CC"/>
          <w:lang w:val="en-GB"/>
        </w:rPr>
        <w:t>pgrad</w:t>
      </w:r>
      <w:r w:rsidR="000E0998">
        <w:rPr>
          <w:b/>
          <w:bCs/>
          <w:color w:val="CC00CC"/>
          <w:lang w:val="en-GB"/>
        </w:rPr>
        <w:t>ing of</w:t>
      </w:r>
      <w:r w:rsidRPr="00285338">
        <w:rPr>
          <w:b/>
          <w:bCs/>
          <w:color w:val="CC00CC"/>
          <w:lang w:val="en-GB"/>
        </w:rPr>
        <w:t xml:space="preserve"> Corridor-Based High-Volume Facilities</w:t>
      </w:r>
      <w:r w:rsidR="000E0998">
        <w:rPr>
          <w:b/>
          <w:bCs/>
          <w:color w:val="CC00CC"/>
          <w:lang w:val="en-GB"/>
        </w:rPr>
        <w:t xml:space="preserve"> </w:t>
      </w:r>
    </w:p>
    <w:p w14:paraId="1254ECE2" w14:textId="03DBB8F8" w:rsidR="00363162" w:rsidRDefault="00363162" w:rsidP="00CF170B">
      <w:pPr>
        <w:tabs>
          <w:tab w:val="num" w:pos="720"/>
        </w:tabs>
        <w:jc w:val="both"/>
        <w:rPr>
          <w:lang w:val="en-GB"/>
        </w:rPr>
      </w:pPr>
      <w:r w:rsidRPr="00363162">
        <w:rPr>
          <w:lang w:val="en-GB"/>
        </w:rPr>
        <w:t>Facilities along Balaka’s main transport corridor</w:t>
      </w:r>
      <w:r w:rsidR="00BC606F">
        <w:rPr>
          <w:lang w:val="en-GB"/>
        </w:rPr>
        <w:t xml:space="preserve"> </w:t>
      </w:r>
      <w:r w:rsidRPr="00363162">
        <w:rPr>
          <w:lang w:val="en-GB"/>
        </w:rPr>
        <w:t>particularly those in Chanthunya and Phalula</w:t>
      </w:r>
      <w:r w:rsidR="00BC606F">
        <w:rPr>
          <w:lang w:val="en-GB"/>
        </w:rPr>
        <w:t xml:space="preserve"> </w:t>
      </w:r>
      <w:r w:rsidRPr="00363162">
        <w:rPr>
          <w:lang w:val="en-GB"/>
        </w:rPr>
        <w:t>handle the district’s largest GBV caseloads despite being few in number. Strengthening these high-volume sites by improving counselling rooms, ensuring privacy and survivor-friendly spaces, and upgrading medico-legal documentation capacity would significantly enhance service quality and reduce unnecessary referrals to Balaka Boma, easing the burden on survivors who already travel long distances at high cost.</w:t>
      </w:r>
    </w:p>
    <w:p w14:paraId="414CC0EC" w14:textId="3DE842BC" w:rsidR="00142925" w:rsidRPr="00142925" w:rsidRDefault="00142925" w:rsidP="00CF170B">
      <w:pPr>
        <w:tabs>
          <w:tab w:val="num" w:pos="720"/>
        </w:tabs>
        <w:jc w:val="both"/>
        <w:rPr>
          <w:lang w:val="en-GB"/>
        </w:rPr>
      </w:pPr>
      <w:r w:rsidRPr="00142925">
        <w:rPr>
          <w:lang w:val="en-GB"/>
        </w:rPr>
        <w:t>Co-design upgrades with Organisations of Persons with Disabilities (OPDs)</w:t>
      </w:r>
      <w:r w:rsidR="000E0998">
        <w:rPr>
          <w:lang w:val="en-GB"/>
        </w:rPr>
        <w:t xml:space="preserve"> </w:t>
      </w:r>
      <w:r w:rsidRPr="00142925">
        <w:rPr>
          <w:lang w:val="en-GB"/>
        </w:rPr>
        <w:t xml:space="preserve">at district level to test access routes, advise on practical modifications, and validate whether reported “Yes” responses on accessibility reflect </w:t>
      </w:r>
      <w:r w:rsidRPr="00142925">
        <w:rPr>
          <w:b/>
          <w:bCs/>
          <w:lang w:val="en-GB"/>
        </w:rPr>
        <w:t>real, user-experienced access</w:t>
      </w:r>
      <w:r w:rsidRPr="00142925">
        <w:rPr>
          <w:lang w:val="en-GB"/>
        </w:rPr>
        <w:t>, not just provider perception.</w:t>
      </w:r>
    </w:p>
    <w:p w14:paraId="7388433F" w14:textId="77777777" w:rsidR="00CF170B" w:rsidRDefault="00DF7E99" w:rsidP="00CF170B">
      <w:pPr>
        <w:jc w:val="both"/>
      </w:pPr>
      <w:r w:rsidRPr="00DF7E99">
        <w:t>Set minimum accessibility standards</w:t>
      </w:r>
      <w:r>
        <w:t xml:space="preserve"> </w:t>
      </w:r>
      <w:r w:rsidR="00017559">
        <w:t xml:space="preserve">or </w:t>
      </w:r>
      <w:r w:rsidR="00017559" w:rsidRPr="00FB29E4">
        <w:t>a basic package</w:t>
      </w:r>
      <w:r w:rsidRPr="00DF7E99">
        <w:t xml:space="preserve"> for GBV service points</w:t>
      </w:r>
      <w:r>
        <w:t xml:space="preserve"> </w:t>
      </w:r>
      <w:r w:rsidR="00FB29E4" w:rsidRPr="00FB29E4">
        <w:t>(ramp or gently sloped entrance, firm pathways, accessible latrine, clear signage) that all GBV service providers should progressively meet</w:t>
      </w:r>
      <w:r w:rsidR="00017559">
        <w:t xml:space="preserve">. </w:t>
      </w:r>
    </w:p>
    <w:p w14:paraId="6D3F8AB5" w14:textId="4CC6FA87" w:rsidR="00AD30BC" w:rsidRPr="00285338" w:rsidRDefault="00AD30BC" w:rsidP="00CF170B">
      <w:pPr>
        <w:rPr>
          <w:lang w:val="en-GB"/>
        </w:rPr>
      </w:pPr>
      <w:r w:rsidRPr="00285338">
        <w:rPr>
          <w:b/>
          <w:bCs/>
          <w:lang w:val="en-GB"/>
        </w:rPr>
        <w:t>Advantages:</w:t>
      </w:r>
      <w:r w:rsidRPr="00285338">
        <w:rPr>
          <w:lang w:val="en-GB"/>
        </w:rPr>
        <w:t xml:space="preserve"> Builds on existing strong hubs; improves efficiency and quality.</w:t>
      </w:r>
      <w:r w:rsidRPr="00285338">
        <w:rPr>
          <w:lang w:val="en-GB"/>
        </w:rPr>
        <w:br/>
      </w:r>
      <w:r w:rsidRPr="00285338">
        <w:rPr>
          <w:b/>
          <w:bCs/>
          <w:lang w:val="en-GB"/>
        </w:rPr>
        <w:t>Feasibility:</w:t>
      </w:r>
      <w:r w:rsidRPr="00285338">
        <w:rPr>
          <w:lang w:val="en-GB"/>
        </w:rPr>
        <w:t xml:space="preserve"> High.</w:t>
      </w:r>
      <w:r w:rsidRPr="00285338">
        <w:rPr>
          <w:lang w:val="en-GB"/>
        </w:rPr>
        <w:br/>
      </w:r>
      <w:r w:rsidRPr="00285338">
        <w:rPr>
          <w:b/>
          <w:bCs/>
          <w:lang w:val="en-GB"/>
        </w:rPr>
        <w:t>Equity:</w:t>
      </w:r>
      <w:r w:rsidRPr="00285338">
        <w:rPr>
          <w:lang w:val="en-GB"/>
        </w:rPr>
        <w:t xml:space="preserve"> Benefits densely populated areas.</w:t>
      </w:r>
    </w:p>
    <w:p w14:paraId="1B8BA257" w14:textId="77777777" w:rsidR="00285338" w:rsidRPr="00285338" w:rsidRDefault="00285338" w:rsidP="00D04BBC">
      <w:pPr>
        <w:jc w:val="both"/>
        <w:rPr>
          <w:b/>
          <w:bCs/>
          <w:color w:val="CC00CC"/>
          <w:lang w:val="en-GB"/>
        </w:rPr>
      </w:pPr>
      <w:r w:rsidRPr="00285338">
        <w:rPr>
          <w:b/>
          <w:bCs/>
          <w:color w:val="CC00CC"/>
          <w:lang w:val="en-GB"/>
        </w:rPr>
        <w:t>Policy Option 4: Institutionalising GIS for Planning and Resource Allocation</w:t>
      </w:r>
    </w:p>
    <w:p w14:paraId="56DFB008" w14:textId="0885E2EA" w:rsidR="00285338" w:rsidRDefault="00285338" w:rsidP="00D04BBC">
      <w:pPr>
        <w:jc w:val="both"/>
        <w:rPr>
          <w:lang w:val="en-GB"/>
        </w:rPr>
      </w:pPr>
      <w:r w:rsidRPr="00285338">
        <w:rPr>
          <w:lang w:val="en-GB"/>
        </w:rPr>
        <w:t>Annual GIS-based audits of service coverage, population density, travel times and TA-level gaps would inform district GBV planning and budgeting.</w:t>
      </w:r>
      <w:r w:rsidRPr="00285338">
        <w:rPr>
          <w:lang w:val="en-GB"/>
        </w:rPr>
        <w:br/>
      </w:r>
      <w:r w:rsidRPr="00285338">
        <w:rPr>
          <w:b/>
          <w:bCs/>
          <w:lang w:val="en-GB"/>
        </w:rPr>
        <w:t>Advantages:</w:t>
      </w:r>
      <w:r w:rsidRPr="00285338">
        <w:rPr>
          <w:lang w:val="en-GB"/>
        </w:rPr>
        <w:t xml:space="preserve"> Enhances evidence-based prioritisation; prevents spatial neglect.</w:t>
      </w:r>
      <w:r w:rsidRPr="00285338">
        <w:rPr>
          <w:lang w:val="en-GB"/>
        </w:rPr>
        <w:br/>
      </w:r>
      <w:r w:rsidRPr="00285338">
        <w:rPr>
          <w:lang w:val="en-GB"/>
        </w:rPr>
        <w:br/>
      </w:r>
      <w:r w:rsidRPr="00285338">
        <w:rPr>
          <w:b/>
          <w:bCs/>
          <w:lang w:val="en-GB"/>
        </w:rPr>
        <w:t>Feasibility:</w:t>
      </w:r>
      <w:r w:rsidRPr="00285338">
        <w:rPr>
          <w:lang w:val="en-GB"/>
        </w:rPr>
        <w:t xml:space="preserve"> High with partner support.</w:t>
      </w:r>
    </w:p>
    <w:p w14:paraId="51969553" w14:textId="77777777" w:rsidR="00926A27" w:rsidRPr="00893141" w:rsidRDefault="00926A27" w:rsidP="00926A27">
      <w:pPr>
        <w:pStyle w:val="Heading2"/>
        <w:rPr>
          <w:b/>
          <w:bCs/>
          <w:lang w:val="en-GB"/>
        </w:rPr>
      </w:pPr>
      <w:r w:rsidRPr="00893141">
        <w:rPr>
          <w:b/>
          <w:bCs/>
          <w:lang w:val="en-GB"/>
        </w:rPr>
        <w:t>Methodology</w:t>
      </w:r>
    </w:p>
    <w:p w14:paraId="18EB83A5" w14:textId="77777777" w:rsidR="00926A27" w:rsidRDefault="00926A27" w:rsidP="00893141">
      <w:pPr>
        <w:jc w:val="both"/>
        <w:rPr>
          <w:lang w:val="en-GB"/>
        </w:rPr>
      </w:pPr>
      <w:r w:rsidRPr="00926A27">
        <w:rPr>
          <w:lang w:val="en-GB"/>
        </w:rPr>
        <w:t>Policy options were derived from spatial accessibility modelling (travel time surfaces, road networks, elevation) and TA-level population density analysis. Facility-level referral and resolution data (2022–2025) were triangulated with key informant consultations with police, health workers, CVUs, and district officers. Evidence quality was assessed through data completeness checks and plausibility reviews.</w:t>
      </w:r>
    </w:p>
    <w:p w14:paraId="5C9C6C21" w14:textId="77777777" w:rsidR="00802433" w:rsidRPr="00926A27" w:rsidRDefault="00802433" w:rsidP="00893141">
      <w:pPr>
        <w:jc w:val="both"/>
        <w:rPr>
          <w:lang w:val="en-GB"/>
        </w:rPr>
      </w:pPr>
    </w:p>
    <w:p w14:paraId="36A92A55" w14:textId="14A2C3B1" w:rsidR="00926A27" w:rsidRPr="00893141" w:rsidRDefault="00926A27" w:rsidP="00926A27">
      <w:pPr>
        <w:pStyle w:val="Heading2"/>
        <w:rPr>
          <w:b/>
          <w:bCs/>
          <w:lang w:val="en-GB"/>
        </w:rPr>
      </w:pPr>
      <w:r w:rsidRPr="00893141">
        <w:rPr>
          <w:b/>
          <w:bCs/>
          <w:lang w:val="en-GB"/>
        </w:rPr>
        <w:t>Further Important Considerations</w:t>
      </w:r>
    </w:p>
    <w:p w14:paraId="12C9D546" w14:textId="267EE6AA" w:rsidR="00926A27" w:rsidRPr="00926A27" w:rsidRDefault="005E5010" w:rsidP="00893141">
      <w:pPr>
        <w:jc w:val="both"/>
        <w:rPr>
          <w:lang w:val="en-GB"/>
        </w:rPr>
      </w:pPr>
      <w:r w:rsidRPr="005E5010">
        <w:t>Because of data-quality limitations (inconsistent definitions, outliers, missing values), the figures in this study were best treated as operational estimates rather than precise surveillance statistics. This implied that the rollout of recommendations should be coupled with an explicit monitoring and learning agenda: annual updates to GIS layers and dashboards, routine data-quality checks, and periodic sense-making sessions at district level to review patterns (e.g. travel times, referral completion, court progression) and adjust interventions accordingly. Over time, this iterative use of data could be more transformative than any single investment in infrastructure or training.</w:t>
      </w:r>
    </w:p>
    <w:p w14:paraId="13F08660" w14:textId="5C3A9241" w:rsidR="00926A27" w:rsidRPr="00893141" w:rsidRDefault="00926A27" w:rsidP="00926A27">
      <w:pPr>
        <w:pStyle w:val="Heading2"/>
        <w:rPr>
          <w:b/>
          <w:bCs/>
          <w:lang w:val="en-GB"/>
        </w:rPr>
      </w:pPr>
      <w:r w:rsidRPr="00893141">
        <w:rPr>
          <w:b/>
          <w:bCs/>
          <w:lang w:val="en-GB"/>
        </w:rPr>
        <w:t>Acknowledgements</w:t>
      </w:r>
    </w:p>
    <w:p w14:paraId="0D5FCDDF" w14:textId="7A371105" w:rsidR="00926A27" w:rsidRPr="00926A27" w:rsidRDefault="00926A27" w:rsidP="005F6A2D">
      <w:pPr>
        <w:jc w:val="both"/>
        <w:rPr>
          <w:lang w:val="en-GB"/>
        </w:rPr>
      </w:pPr>
      <w:r w:rsidRPr="00926A27">
        <w:rPr>
          <w:lang w:val="en-GB"/>
        </w:rPr>
        <w:t xml:space="preserve">Prepared in collaboration with the </w:t>
      </w:r>
      <w:r w:rsidR="00C61F74">
        <w:rPr>
          <w:lang w:val="en-GB"/>
        </w:rPr>
        <w:t>Balaka</w:t>
      </w:r>
      <w:r w:rsidRPr="00926A27">
        <w:rPr>
          <w:lang w:val="en-GB"/>
        </w:rPr>
        <w:t xml:space="preserve"> District Gender Office, Social Welfare Office, Health Office, MICGBV partners, and frontline GBV service providers.</w:t>
      </w:r>
    </w:p>
    <w:p w14:paraId="009B66D2" w14:textId="77777777" w:rsidR="00926A27" w:rsidRDefault="00926A27" w:rsidP="00285338">
      <w:pPr>
        <w:rPr>
          <w:lang w:val="en-GB"/>
        </w:rPr>
      </w:pPr>
    </w:p>
    <w:p w14:paraId="25F33910" w14:textId="4B9E1D8B" w:rsidR="004D76D5" w:rsidRDefault="004D76D5" w:rsidP="00285338">
      <w:pPr>
        <w:rPr>
          <w:lang w:val="en-GB"/>
        </w:rPr>
      </w:pPr>
    </w:p>
    <w:p w14:paraId="03FA0DC9" w14:textId="77777777" w:rsidR="00185975" w:rsidRDefault="00185975" w:rsidP="00285338">
      <w:pPr>
        <w:rPr>
          <w:lang w:val="en-GB"/>
        </w:rPr>
      </w:pPr>
    </w:p>
    <w:p w14:paraId="43B8CDF2" w14:textId="77777777" w:rsidR="00185975" w:rsidRDefault="00185975" w:rsidP="00285338">
      <w:pPr>
        <w:rPr>
          <w:lang w:val="en-GB"/>
        </w:rPr>
      </w:pPr>
    </w:p>
    <w:p w14:paraId="548D7E1D" w14:textId="77777777" w:rsidR="00185975" w:rsidRPr="00285338" w:rsidRDefault="00185975" w:rsidP="00285338">
      <w:pPr>
        <w:rPr>
          <w:lang w:val="en-GB"/>
        </w:rPr>
      </w:pPr>
    </w:p>
    <w:p w14:paraId="4191545C" w14:textId="77777777" w:rsidR="00285338" w:rsidRDefault="00285338"/>
    <w:sectPr w:rsidR="00285338" w:rsidSect="008B4325">
      <w:headerReference w:type="even" r:id="rId9"/>
      <w:headerReference w:type="default" r:id="rId10"/>
      <w:footerReference w:type="even" r:id="rId11"/>
      <w:footerReference w:type="default" r:id="rId12"/>
      <w:pgSz w:w="12240" w:h="15840" w:code="1"/>
      <w:pgMar w:top="1440" w:right="758" w:bottom="993" w:left="993" w:header="720" w:footer="0" w:gutter="0"/>
      <w:pgNumType w:start="1"/>
      <w:cols w:num="2"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CC23E" w14:textId="77777777" w:rsidR="00E276A0" w:rsidRDefault="00E276A0">
      <w:pPr>
        <w:spacing w:after="0" w:line="240" w:lineRule="auto"/>
      </w:pPr>
      <w:r>
        <w:separator/>
      </w:r>
    </w:p>
  </w:endnote>
  <w:endnote w:type="continuationSeparator" w:id="0">
    <w:p w14:paraId="6FC94DBC" w14:textId="77777777" w:rsidR="00E276A0" w:rsidRDefault="00E27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GMinchoE">
    <w:charset w:val="80"/>
    <w:family w:val="modern"/>
    <w:pitch w:val="fixed"/>
    <w:sig w:usb0="E00002FF" w:usb1="2AC7EDFE" w:usb2="00000012" w:usb3="00000000" w:csb0="0002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5A64" w14:textId="77777777" w:rsidR="00803E12" w:rsidRDefault="009C4143">
    <w:pPr>
      <w:pStyle w:val="FooterLeft"/>
    </w:pPr>
    <w:r>
      <w:rPr>
        <w:color w:val="CEDBE6" w:themeColor="accent2" w:themeTint="80"/>
      </w:rPr>
      <w:sym w:font="Wingdings 3" w:char="F07D"/>
    </w:r>
    <w:r>
      <w:t xml:space="preserve"> Page </w:t>
    </w:r>
    <w:r>
      <w:fldChar w:fldCharType="begin"/>
    </w:r>
    <w:r>
      <w:instrText xml:space="preserve"> PAGE  \* Arabic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3E88E" w14:textId="77777777" w:rsidR="008B4325" w:rsidRDefault="008B4325">
    <w:pPr>
      <w:pStyle w:val="FooterRight"/>
    </w:pPr>
    <w:r>
      <w:rPr>
        <w:color w:val="9FB8CD" w:themeColor="accent2"/>
      </w:rPr>
      <w:sym w:font="Wingdings 3" w:char="F07D"/>
    </w:r>
    <w:r>
      <w:t xml:space="preserve"> Page </w:t>
    </w:r>
    <w:r>
      <w:fldChar w:fldCharType="begin"/>
    </w:r>
    <w:r>
      <w:instrText xml:space="preserve"> PAGE  \* Arabic  \* MERGEFORMAT </w:instrText>
    </w:r>
    <w:r>
      <w:fldChar w:fldCharType="separate"/>
    </w:r>
    <w:r>
      <w:rPr>
        <w:noProof/>
      </w:rPr>
      <w:t>1</w:t>
    </w:r>
    <w:r>
      <w:rPr>
        <w:noProof/>
      </w:rPr>
      <w:fldChar w:fldCharType="end"/>
    </w:r>
  </w:p>
  <w:p w14:paraId="5C5A3FA3" w14:textId="3E90EEBF" w:rsidR="00803E12" w:rsidRDefault="00803E12">
    <w:pPr>
      <w:pStyle w:val="Footer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5E081" w14:textId="77777777" w:rsidR="00E276A0" w:rsidRDefault="00E276A0">
      <w:pPr>
        <w:spacing w:after="0" w:line="240" w:lineRule="auto"/>
      </w:pPr>
      <w:r>
        <w:separator/>
      </w:r>
    </w:p>
  </w:footnote>
  <w:footnote w:type="continuationSeparator" w:id="0">
    <w:p w14:paraId="0ADAF74F" w14:textId="77777777" w:rsidR="00E276A0" w:rsidRDefault="00E276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63AFC" w14:textId="6CEFD1AC" w:rsidR="00803E12" w:rsidRDefault="009C4143">
    <w:pPr>
      <w:pStyle w:val="HeaderLeft"/>
      <w:jc w:val="right"/>
    </w:pPr>
    <w:r>
      <w:rPr>
        <w:color w:val="CEDBE6" w:themeColor="accent2" w:themeTint="80"/>
      </w:rPr>
      <w:sym w:font="Wingdings 3" w:char="F07D"/>
    </w:r>
    <w:r>
      <w:t xml:space="preserve"> </w:t>
    </w:r>
    <w:sdt>
      <w:sdtPr>
        <w:alias w:val="Title"/>
        <w:id w:val="168006723"/>
        <w:dataBinding w:prefixMappings="xmlns:ns0='http://schemas.openxmlformats.org/package/2006/metadata/core-properties' xmlns:ns1='http://purl.org/dc/elements/1.1/'" w:xpath="/ns0:coreProperties[1]/ns1:title[1]" w:storeItemID="{6C3C8BC8-F283-45AE-878A-BAB7291924A1}"/>
        <w:text/>
      </w:sdtPr>
      <w:sdtEndPr/>
      <w:sdtContent>
        <w:r w:rsidR="001415A9">
          <w:t>POLICY BRIEF — BALAKA DISTRICT</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BD2A" w14:textId="47D74531" w:rsidR="00803E12" w:rsidRDefault="00302890">
    <w:pPr>
      <w:pStyle w:val="HeaderRight"/>
      <w:jc w:val="left"/>
    </w:pPr>
    <w:r>
      <w:rPr>
        <w:noProof/>
      </w:rPr>
      <w:drawing>
        <wp:anchor distT="0" distB="0" distL="114300" distR="114300" simplePos="0" relativeHeight="251659776" behindDoc="0" locked="0" layoutInCell="1" allowOverlap="1" wp14:anchorId="49CB626C" wp14:editId="4521919F">
          <wp:simplePos x="0" y="0"/>
          <wp:positionH relativeFrom="margin">
            <wp:posOffset>4937125</wp:posOffset>
          </wp:positionH>
          <wp:positionV relativeFrom="margin">
            <wp:posOffset>-850900</wp:posOffset>
          </wp:positionV>
          <wp:extent cx="1184275" cy="719455"/>
          <wp:effectExtent l="0" t="0" r="0" b="4445"/>
          <wp:wrapSquare wrapText="bothSides"/>
          <wp:docPr id="817930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47071" name="Picture 546247071"/>
                  <pic:cNvPicPr/>
                </pic:nvPicPr>
                <pic:blipFill>
                  <a:blip r:embed="rId1">
                    <a:extLst>
                      <a:ext uri="{28A0092B-C50C-407E-A947-70E740481C1C}">
                        <a14:useLocalDpi xmlns:a14="http://schemas.microsoft.com/office/drawing/2010/main" val="0"/>
                      </a:ext>
                    </a:extLst>
                  </a:blip>
                  <a:stretch>
                    <a:fillRect/>
                  </a:stretch>
                </pic:blipFill>
                <pic:spPr>
                  <a:xfrm>
                    <a:off x="0" y="0"/>
                    <a:ext cx="1184275" cy="719455"/>
                  </a:xfrm>
                  <a:prstGeom prst="rect">
                    <a:avLst/>
                  </a:prstGeom>
                </pic:spPr>
              </pic:pic>
            </a:graphicData>
          </a:graphic>
        </wp:anchor>
      </w:drawing>
    </w:r>
    <w:r w:rsidR="009C4143">
      <w:rPr>
        <w:color w:val="CEDBE6" w:themeColor="accent2" w:themeTint="80"/>
      </w:rPr>
      <w:sym w:font="Wingdings 3" w:char="F07D"/>
    </w:r>
    <w:r w:rsidR="009C4143">
      <w:t xml:space="preserve"> </w:t>
    </w:r>
    <w:sdt>
      <w:sdtPr>
        <w:rPr>
          <w:b/>
          <w:bCs/>
          <w:color w:val="7030A0"/>
          <w:sz w:val="24"/>
          <w:szCs w:val="24"/>
        </w:rPr>
        <w:alias w:val="Title"/>
        <w:id w:val="-1280636935"/>
        <w:dataBinding w:prefixMappings="xmlns:ns0='http://schemas.openxmlformats.org/package/2006/metadata/core-properties' xmlns:ns1='http://purl.org/dc/elements/1.1/'" w:xpath="/ns0:coreProperties[1]/ns1:title[1]" w:storeItemID="{6C3C8BC8-F283-45AE-878A-BAB7291924A1}"/>
        <w:text/>
      </w:sdtPr>
      <w:sdtEndPr/>
      <w:sdtContent>
        <w:r w:rsidR="009D2CC2" w:rsidRPr="009D2CC2">
          <w:rPr>
            <w:b/>
            <w:bCs/>
            <w:color w:val="7030A0"/>
            <w:sz w:val="24"/>
            <w:szCs w:val="24"/>
          </w:rPr>
          <w:t xml:space="preserve">POLICY BRIEF — </w:t>
        </w:r>
        <w:r w:rsidR="001415A9">
          <w:rPr>
            <w:b/>
            <w:bCs/>
            <w:color w:val="7030A0"/>
            <w:sz w:val="24"/>
            <w:szCs w:val="24"/>
          </w:rPr>
          <w:t>BALAKA</w:t>
        </w:r>
        <w:r w:rsidR="009D2CC2" w:rsidRPr="009D2CC2">
          <w:rPr>
            <w:b/>
            <w:bCs/>
            <w:color w:val="7030A0"/>
            <w:sz w:val="24"/>
            <w:szCs w:val="24"/>
          </w:rPr>
          <w:t xml:space="preserve"> DISTRICT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F0C434A"/>
    <w:lvl w:ilvl="0">
      <w:start w:val="1"/>
      <w:numFmt w:val="bullet"/>
      <w:pStyle w:val="ListBullet5"/>
      <w:lvlText w:val=""/>
      <w:lvlJc w:val="left"/>
      <w:pPr>
        <w:ind w:left="1800" w:hanging="360"/>
      </w:pPr>
      <w:rPr>
        <w:rFonts w:ascii="Symbol" w:hAnsi="Symbol" w:hint="default"/>
        <w:color w:val="9FB8CD" w:themeColor="accent2"/>
      </w:rPr>
    </w:lvl>
  </w:abstractNum>
  <w:abstractNum w:abstractNumId="1" w15:restartNumberingAfterBreak="0">
    <w:nsid w:val="FFFFFF81"/>
    <w:multiLevelType w:val="singleLevel"/>
    <w:tmpl w:val="78B8BCEC"/>
    <w:lvl w:ilvl="0">
      <w:start w:val="1"/>
      <w:numFmt w:val="bullet"/>
      <w:pStyle w:val="ListBullet4"/>
      <w:lvlText w:val=""/>
      <w:lvlJc w:val="left"/>
      <w:pPr>
        <w:ind w:left="1440" w:hanging="360"/>
      </w:pPr>
      <w:rPr>
        <w:rFonts w:ascii="Symbol" w:hAnsi="Symbol" w:hint="default"/>
        <w:outline w:val="0"/>
        <w:emboss w:val="0"/>
        <w:imprint w:val="0"/>
        <w:color w:val="628BAD" w:themeColor="accent2" w:themeShade="BF"/>
      </w:rPr>
    </w:lvl>
  </w:abstractNum>
  <w:abstractNum w:abstractNumId="2" w15:restartNumberingAfterBreak="0">
    <w:nsid w:val="FFFFFF82"/>
    <w:multiLevelType w:val="singleLevel"/>
    <w:tmpl w:val="3D9E3420"/>
    <w:lvl w:ilvl="0">
      <w:start w:val="1"/>
      <w:numFmt w:val="bullet"/>
      <w:pStyle w:val="ListBullet3"/>
      <w:lvlText w:val=""/>
      <w:lvlJc w:val="left"/>
      <w:pPr>
        <w:ind w:left="1080" w:hanging="360"/>
      </w:pPr>
      <w:rPr>
        <w:rFonts w:ascii="Wingdings 3" w:hAnsi="Wingdings 3" w:hint="default"/>
        <w:color w:val="808080" w:themeColor="background1" w:themeShade="80"/>
      </w:rPr>
    </w:lvl>
  </w:abstractNum>
  <w:abstractNum w:abstractNumId="3" w15:restartNumberingAfterBreak="0">
    <w:nsid w:val="FFFFFF83"/>
    <w:multiLevelType w:val="singleLevel"/>
    <w:tmpl w:val="5B846FA6"/>
    <w:lvl w:ilvl="0">
      <w:start w:val="1"/>
      <w:numFmt w:val="bullet"/>
      <w:pStyle w:val="ListBullet2"/>
      <w:lvlText w:val=""/>
      <w:lvlJc w:val="left"/>
      <w:pPr>
        <w:ind w:left="720" w:hanging="360"/>
      </w:pPr>
      <w:rPr>
        <w:rFonts w:ascii="Wingdings 3" w:hAnsi="Wingdings 3" w:hint="default"/>
        <w:color w:val="9FB8CD" w:themeColor="accent2"/>
      </w:rPr>
    </w:lvl>
  </w:abstractNum>
  <w:abstractNum w:abstractNumId="4" w15:restartNumberingAfterBreak="0">
    <w:nsid w:val="FFFFFF89"/>
    <w:multiLevelType w:val="singleLevel"/>
    <w:tmpl w:val="4C7CAEF2"/>
    <w:lvl w:ilvl="0">
      <w:start w:val="1"/>
      <w:numFmt w:val="bullet"/>
      <w:pStyle w:val="ListBullet"/>
      <w:lvlText w:val=""/>
      <w:lvlJc w:val="left"/>
      <w:pPr>
        <w:ind w:left="360" w:hanging="360"/>
      </w:pPr>
      <w:rPr>
        <w:rFonts w:ascii="Wingdings 3" w:hAnsi="Wingdings 3" w:hint="default"/>
        <w:caps w:val="0"/>
        <w:strike w:val="0"/>
        <w:dstrike w:val="0"/>
        <w:outline w:val="0"/>
        <w:shadow w:val="0"/>
        <w:emboss w:val="0"/>
        <w:imprint w:val="0"/>
        <w:vanish w:val="0"/>
        <w:color w:val="628BAD" w:themeColor="accent2" w:themeShade="BF"/>
        <w:vertAlign w:val="baseline"/>
      </w:rPr>
    </w:lvl>
  </w:abstractNum>
  <w:abstractNum w:abstractNumId="5" w15:restartNumberingAfterBreak="0">
    <w:nsid w:val="05D1513C"/>
    <w:multiLevelType w:val="multilevel"/>
    <w:tmpl w:val="68E80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0C11F4"/>
    <w:multiLevelType w:val="multilevel"/>
    <w:tmpl w:val="E4CC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05579C"/>
    <w:multiLevelType w:val="multilevel"/>
    <w:tmpl w:val="E6C0182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4A5CC8"/>
    <w:multiLevelType w:val="multilevel"/>
    <w:tmpl w:val="A1AE430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0173C6"/>
    <w:multiLevelType w:val="multilevel"/>
    <w:tmpl w:val="A6603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A44D02"/>
    <w:multiLevelType w:val="multilevel"/>
    <w:tmpl w:val="5CA2375C"/>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005149"/>
    <w:multiLevelType w:val="multilevel"/>
    <w:tmpl w:val="5B567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0D601C"/>
    <w:multiLevelType w:val="multilevel"/>
    <w:tmpl w:val="C0425136"/>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2E23CB"/>
    <w:multiLevelType w:val="multilevel"/>
    <w:tmpl w:val="D6D4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697867"/>
    <w:multiLevelType w:val="multilevel"/>
    <w:tmpl w:val="9CDADE0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1E6DA2"/>
    <w:multiLevelType w:val="multilevel"/>
    <w:tmpl w:val="5A92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9F215F"/>
    <w:multiLevelType w:val="multilevel"/>
    <w:tmpl w:val="FDF6571E"/>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012D95"/>
    <w:multiLevelType w:val="multilevel"/>
    <w:tmpl w:val="E894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A75830"/>
    <w:multiLevelType w:val="multilevel"/>
    <w:tmpl w:val="7454167C"/>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E91698"/>
    <w:multiLevelType w:val="multilevel"/>
    <w:tmpl w:val="183A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B36081"/>
    <w:multiLevelType w:val="multilevel"/>
    <w:tmpl w:val="BACA5F98"/>
    <w:lvl w:ilvl="0">
      <w:start w:val="1"/>
      <w:numFmt w:val="decimal"/>
      <w:lvlText w:val="%1."/>
      <w:lvlJc w:val="left"/>
      <w:pPr>
        <w:tabs>
          <w:tab w:val="num" w:pos="720"/>
        </w:tabs>
        <w:ind w:left="720" w:hanging="360"/>
      </w:pPr>
      <w:rPr>
        <w:color w:val="7030A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13AD4"/>
    <w:multiLevelType w:val="multilevel"/>
    <w:tmpl w:val="31EE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5D5AC8"/>
    <w:multiLevelType w:val="multilevel"/>
    <w:tmpl w:val="8D22B20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867AA6"/>
    <w:multiLevelType w:val="multilevel"/>
    <w:tmpl w:val="97E47396"/>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6A0123"/>
    <w:multiLevelType w:val="multilevel"/>
    <w:tmpl w:val="E9E47612"/>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6B4EE4"/>
    <w:multiLevelType w:val="multilevel"/>
    <w:tmpl w:val="73805DB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122755"/>
    <w:multiLevelType w:val="multilevel"/>
    <w:tmpl w:val="9DDEE8D0"/>
    <w:lvl w:ilvl="0">
      <w:start w:val="1"/>
      <w:numFmt w:val="bullet"/>
      <w:lvlText w:val=""/>
      <w:lvlJc w:val="left"/>
      <w:pPr>
        <w:tabs>
          <w:tab w:val="num" w:pos="502"/>
        </w:tabs>
        <w:ind w:left="502" w:hanging="360"/>
      </w:pPr>
      <w:rPr>
        <w:rFonts w:ascii="Symbol" w:hAnsi="Symbol" w:hint="default"/>
        <w:color w:val="7030A0"/>
        <w:sz w:val="20"/>
      </w:rPr>
    </w:lvl>
    <w:lvl w:ilvl="1">
      <w:start w:val="1"/>
      <w:numFmt w:val="bullet"/>
      <w:lvlText w:val="o"/>
      <w:lvlJc w:val="left"/>
      <w:pPr>
        <w:tabs>
          <w:tab w:val="num" w:pos="993"/>
        </w:tabs>
        <w:ind w:left="993" w:hanging="360"/>
      </w:pPr>
      <w:rPr>
        <w:rFonts w:ascii="Courier New" w:hAnsi="Courier New" w:hint="default"/>
        <w:color w:val="FF00FF"/>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7" w15:restartNumberingAfterBreak="0">
    <w:nsid w:val="66AC30DD"/>
    <w:multiLevelType w:val="multilevel"/>
    <w:tmpl w:val="D83274A6"/>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1C6C88"/>
    <w:multiLevelType w:val="multilevel"/>
    <w:tmpl w:val="E786B522"/>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4F6843"/>
    <w:multiLevelType w:val="multilevel"/>
    <w:tmpl w:val="2640AEC2"/>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6E3F4E"/>
    <w:multiLevelType w:val="multilevel"/>
    <w:tmpl w:val="8CB4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F322DE"/>
    <w:multiLevelType w:val="hybridMultilevel"/>
    <w:tmpl w:val="BEEA8FD0"/>
    <w:lvl w:ilvl="0" w:tplc="B160577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316505">
    <w:abstractNumId w:val="4"/>
  </w:num>
  <w:num w:numId="2" w16cid:durableId="1660618629">
    <w:abstractNumId w:val="4"/>
  </w:num>
  <w:num w:numId="3" w16cid:durableId="2098473953">
    <w:abstractNumId w:val="3"/>
  </w:num>
  <w:num w:numId="4" w16cid:durableId="1681814905">
    <w:abstractNumId w:val="3"/>
  </w:num>
  <w:num w:numId="5" w16cid:durableId="1963344578">
    <w:abstractNumId w:val="2"/>
  </w:num>
  <w:num w:numId="6" w16cid:durableId="2112701901">
    <w:abstractNumId w:val="2"/>
  </w:num>
  <w:num w:numId="7" w16cid:durableId="1065228307">
    <w:abstractNumId w:val="1"/>
  </w:num>
  <w:num w:numId="8" w16cid:durableId="1907497571">
    <w:abstractNumId w:val="1"/>
  </w:num>
  <w:num w:numId="9" w16cid:durableId="1434327184">
    <w:abstractNumId w:val="0"/>
  </w:num>
  <w:num w:numId="10" w16cid:durableId="1707945589">
    <w:abstractNumId w:val="0"/>
  </w:num>
  <w:num w:numId="11" w16cid:durableId="1372144891">
    <w:abstractNumId w:val="4"/>
  </w:num>
  <w:num w:numId="12" w16cid:durableId="1756854921">
    <w:abstractNumId w:val="3"/>
  </w:num>
  <w:num w:numId="13" w16cid:durableId="175854886">
    <w:abstractNumId w:val="2"/>
  </w:num>
  <w:num w:numId="14" w16cid:durableId="1919246809">
    <w:abstractNumId w:val="1"/>
  </w:num>
  <w:num w:numId="15" w16cid:durableId="1415317907">
    <w:abstractNumId w:val="0"/>
  </w:num>
  <w:num w:numId="16" w16cid:durableId="852108021">
    <w:abstractNumId w:val="4"/>
  </w:num>
  <w:num w:numId="17" w16cid:durableId="432825832">
    <w:abstractNumId w:val="3"/>
  </w:num>
  <w:num w:numId="18" w16cid:durableId="1287547062">
    <w:abstractNumId w:val="2"/>
  </w:num>
  <w:num w:numId="19" w16cid:durableId="1122116714">
    <w:abstractNumId w:val="1"/>
  </w:num>
  <w:num w:numId="20" w16cid:durableId="647786006">
    <w:abstractNumId w:val="0"/>
  </w:num>
  <w:num w:numId="21" w16cid:durableId="1510214294">
    <w:abstractNumId w:val="6"/>
  </w:num>
  <w:num w:numId="22" w16cid:durableId="1549491939">
    <w:abstractNumId w:val="22"/>
  </w:num>
  <w:num w:numId="23" w16cid:durableId="1229263777">
    <w:abstractNumId w:val="19"/>
  </w:num>
  <w:num w:numId="24" w16cid:durableId="1743789822">
    <w:abstractNumId w:val="15"/>
  </w:num>
  <w:num w:numId="25" w16cid:durableId="1940142011">
    <w:abstractNumId w:val="13"/>
  </w:num>
  <w:num w:numId="26" w16cid:durableId="740979672">
    <w:abstractNumId w:val="21"/>
  </w:num>
  <w:num w:numId="27" w16cid:durableId="1879512973">
    <w:abstractNumId w:val="5"/>
  </w:num>
  <w:num w:numId="28" w16cid:durableId="523130014">
    <w:abstractNumId w:val="11"/>
  </w:num>
  <w:num w:numId="29" w16cid:durableId="2038385918">
    <w:abstractNumId w:val="30"/>
  </w:num>
  <w:num w:numId="30" w16cid:durableId="429665741">
    <w:abstractNumId w:val="18"/>
  </w:num>
  <w:num w:numId="31" w16cid:durableId="1806585751">
    <w:abstractNumId w:val="25"/>
  </w:num>
  <w:num w:numId="32" w16cid:durableId="629625742">
    <w:abstractNumId w:val="8"/>
  </w:num>
  <w:num w:numId="33" w16cid:durableId="1250188305">
    <w:abstractNumId w:val="14"/>
  </w:num>
  <w:num w:numId="34" w16cid:durableId="697127459">
    <w:abstractNumId w:val="23"/>
  </w:num>
  <w:num w:numId="35" w16cid:durableId="291517305">
    <w:abstractNumId w:val="20"/>
  </w:num>
  <w:num w:numId="36" w16cid:durableId="515003538">
    <w:abstractNumId w:val="24"/>
  </w:num>
  <w:num w:numId="37" w16cid:durableId="1790973772">
    <w:abstractNumId w:val="27"/>
  </w:num>
  <w:num w:numId="38" w16cid:durableId="339898032">
    <w:abstractNumId w:val="28"/>
  </w:num>
  <w:num w:numId="39" w16cid:durableId="2066565381">
    <w:abstractNumId w:val="10"/>
  </w:num>
  <w:num w:numId="40" w16cid:durableId="864100401">
    <w:abstractNumId w:val="7"/>
  </w:num>
  <w:num w:numId="41" w16cid:durableId="943927004">
    <w:abstractNumId w:val="16"/>
  </w:num>
  <w:num w:numId="42" w16cid:durableId="279187205">
    <w:abstractNumId w:val="29"/>
  </w:num>
  <w:num w:numId="43" w16cid:durableId="381487280">
    <w:abstractNumId w:val="31"/>
  </w:num>
  <w:num w:numId="44" w16cid:durableId="273640220">
    <w:abstractNumId w:val="9"/>
  </w:num>
  <w:num w:numId="45" w16cid:durableId="1948077474">
    <w:abstractNumId w:val="17"/>
  </w:num>
  <w:num w:numId="46" w16cid:durableId="139542311">
    <w:abstractNumId w:val="26"/>
  </w:num>
  <w:num w:numId="47" w16cid:durableId="1371799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764"/>
    <w:rsid w:val="00017559"/>
    <w:rsid w:val="000213D8"/>
    <w:rsid w:val="00057304"/>
    <w:rsid w:val="00086781"/>
    <w:rsid w:val="00092F88"/>
    <w:rsid w:val="00093687"/>
    <w:rsid w:val="000A0F44"/>
    <w:rsid w:val="000A228B"/>
    <w:rsid w:val="000A34B2"/>
    <w:rsid w:val="000A5F31"/>
    <w:rsid w:val="000C4D26"/>
    <w:rsid w:val="000C5859"/>
    <w:rsid w:val="000D3605"/>
    <w:rsid w:val="000E0998"/>
    <w:rsid w:val="0011204C"/>
    <w:rsid w:val="00121C75"/>
    <w:rsid w:val="0012294D"/>
    <w:rsid w:val="001415A9"/>
    <w:rsid w:val="00142925"/>
    <w:rsid w:val="00154E23"/>
    <w:rsid w:val="0016370C"/>
    <w:rsid w:val="001778E4"/>
    <w:rsid w:val="00185975"/>
    <w:rsid w:val="00185B19"/>
    <w:rsid w:val="001A0B7A"/>
    <w:rsid w:val="001D44D7"/>
    <w:rsid w:val="001D766F"/>
    <w:rsid w:val="001F445D"/>
    <w:rsid w:val="0021245F"/>
    <w:rsid w:val="00222385"/>
    <w:rsid w:val="00233B6F"/>
    <w:rsid w:val="0024267C"/>
    <w:rsid w:val="0024504B"/>
    <w:rsid w:val="002565ED"/>
    <w:rsid w:val="00285338"/>
    <w:rsid w:val="00296922"/>
    <w:rsid w:val="002C00B3"/>
    <w:rsid w:val="002C7C37"/>
    <w:rsid w:val="002F4B60"/>
    <w:rsid w:val="002F5698"/>
    <w:rsid w:val="00302890"/>
    <w:rsid w:val="003518F2"/>
    <w:rsid w:val="003603E1"/>
    <w:rsid w:val="003612EB"/>
    <w:rsid w:val="00363162"/>
    <w:rsid w:val="0036668A"/>
    <w:rsid w:val="003708A2"/>
    <w:rsid w:val="00382EC8"/>
    <w:rsid w:val="00385269"/>
    <w:rsid w:val="003B6954"/>
    <w:rsid w:val="003B72E8"/>
    <w:rsid w:val="003E13A2"/>
    <w:rsid w:val="003F5AAA"/>
    <w:rsid w:val="00407518"/>
    <w:rsid w:val="004204FF"/>
    <w:rsid w:val="004305ED"/>
    <w:rsid w:val="00431537"/>
    <w:rsid w:val="00466495"/>
    <w:rsid w:val="004A7ACA"/>
    <w:rsid w:val="004A7AE8"/>
    <w:rsid w:val="004B0AF1"/>
    <w:rsid w:val="004C0561"/>
    <w:rsid w:val="004C3D77"/>
    <w:rsid w:val="004D4DBE"/>
    <w:rsid w:val="004D76D5"/>
    <w:rsid w:val="004E4D97"/>
    <w:rsid w:val="004F4F49"/>
    <w:rsid w:val="00501A81"/>
    <w:rsid w:val="00502F83"/>
    <w:rsid w:val="00517E62"/>
    <w:rsid w:val="00535347"/>
    <w:rsid w:val="005D4786"/>
    <w:rsid w:val="005D5DC3"/>
    <w:rsid w:val="005E5010"/>
    <w:rsid w:val="005F6A2D"/>
    <w:rsid w:val="00612B24"/>
    <w:rsid w:val="00615DB8"/>
    <w:rsid w:val="00632A8D"/>
    <w:rsid w:val="00654630"/>
    <w:rsid w:val="00671A0C"/>
    <w:rsid w:val="006F0BD5"/>
    <w:rsid w:val="00701E28"/>
    <w:rsid w:val="007754AD"/>
    <w:rsid w:val="007C0717"/>
    <w:rsid w:val="00802433"/>
    <w:rsid w:val="00803E12"/>
    <w:rsid w:val="0083745A"/>
    <w:rsid w:val="008421C9"/>
    <w:rsid w:val="00893141"/>
    <w:rsid w:val="00895350"/>
    <w:rsid w:val="008A13C0"/>
    <w:rsid w:val="008B4325"/>
    <w:rsid w:val="008D254B"/>
    <w:rsid w:val="008D3FD2"/>
    <w:rsid w:val="008F2D4C"/>
    <w:rsid w:val="00900A40"/>
    <w:rsid w:val="00922B46"/>
    <w:rsid w:val="00926A27"/>
    <w:rsid w:val="009821B1"/>
    <w:rsid w:val="0099132A"/>
    <w:rsid w:val="009C4143"/>
    <w:rsid w:val="009D2CC2"/>
    <w:rsid w:val="00A02B25"/>
    <w:rsid w:val="00A05C8E"/>
    <w:rsid w:val="00A3679C"/>
    <w:rsid w:val="00A514BF"/>
    <w:rsid w:val="00A62466"/>
    <w:rsid w:val="00A73B49"/>
    <w:rsid w:val="00A91EB3"/>
    <w:rsid w:val="00AA0AE8"/>
    <w:rsid w:val="00AA3FD8"/>
    <w:rsid w:val="00AB38DB"/>
    <w:rsid w:val="00AD2054"/>
    <w:rsid w:val="00AD30BC"/>
    <w:rsid w:val="00AD60AD"/>
    <w:rsid w:val="00B049F5"/>
    <w:rsid w:val="00B90521"/>
    <w:rsid w:val="00B92764"/>
    <w:rsid w:val="00B97B46"/>
    <w:rsid w:val="00BB7CFB"/>
    <w:rsid w:val="00BC25BA"/>
    <w:rsid w:val="00BC606F"/>
    <w:rsid w:val="00C23C05"/>
    <w:rsid w:val="00C61F74"/>
    <w:rsid w:val="00C74A1F"/>
    <w:rsid w:val="00C830EA"/>
    <w:rsid w:val="00C93ADF"/>
    <w:rsid w:val="00CF112F"/>
    <w:rsid w:val="00CF170B"/>
    <w:rsid w:val="00CF1948"/>
    <w:rsid w:val="00D04BBC"/>
    <w:rsid w:val="00D821B9"/>
    <w:rsid w:val="00DA7D1A"/>
    <w:rsid w:val="00DC1E88"/>
    <w:rsid w:val="00DF7E99"/>
    <w:rsid w:val="00E00639"/>
    <w:rsid w:val="00E13C86"/>
    <w:rsid w:val="00E276A0"/>
    <w:rsid w:val="00E30036"/>
    <w:rsid w:val="00E36601"/>
    <w:rsid w:val="00E95720"/>
    <w:rsid w:val="00EA5CE3"/>
    <w:rsid w:val="00EB1F80"/>
    <w:rsid w:val="00F009A1"/>
    <w:rsid w:val="00F06802"/>
    <w:rsid w:val="00F11003"/>
    <w:rsid w:val="00F178D4"/>
    <w:rsid w:val="00F307D1"/>
    <w:rsid w:val="00F37CB5"/>
    <w:rsid w:val="00F520F9"/>
    <w:rsid w:val="00F5522F"/>
    <w:rsid w:val="00F626D6"/>
    <w:rsid w:val="00F77E1B"/>
    <w:rsid w:val="00F925C9"/>
    <w:rsid w:val="00FB29E4"/>
    <w:rsid w:val="00FD4BC3"/>
    <w:rsid w:val="00FD5064"/>
    <w:rsid w:val="00FD774B"/>
    <w:rsid w:val="00FF7C13"/>
  </w:rsids>
  <m:mathPr>
    <m:mathFont m:val="Cambria Math"/>
    <m:brkBin m:val="before"/>
    <m:brkBinSub m:val="--"/>
    <m:smallFrac m:val="0"/>
    <m:dispDef/>
    <m:lMargin m:val="0"/>
    <m:rMargin m:val="0"/>
    <m:defJc m:val="centerGroup"/>
    <m:wrapIndent m:val="1440"/>
    <m:intLim m:val="undOvr"/>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55B42"/>
  <w15:docId w15:val="{EC6D29AF-39BE-46EE-A246-57BABA2E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themeColor="text1"/>
      <w:sz w:val="20"/>
      <w:szCs w:val="20"/>
      <w:lang w:eastAsia="ja-JP"/>
    </w:rPr>
  </w:style>
  <w:style w:type="paragraph" w:styleId="Heading1">
    <w:name w:val="heading 1"/>
    <w:basedOn w:val="Normal"/>
    <w:next w:val="Normal"/>
    <w:link w:val="Heading1Char"/>
    <w:uiPriority w:val="9"/>
    <w:qFormat/>
    <w:pPr>
      <w:pBdr>
        <w:top w:val="single" w:sz="6" w:space="1" w:color="9FB8CD" w:themeColor="accent2"/>
        <w:left w:val="single" w:sz="6" w:space="1" w:color="9FB8CD" w:themeColor="accent2"/>
        <w:bottom w:val="single" w:sz="6" w:space="1" w:color="9FB8CD" w:themeColor="accent2"/>
        <w:right w:val="single" w:sz="6" w:space="1" w:color="9FB8CD" w:themeColor="accent2"/>
      </w:pBdr>
      <w:shd w:val="clear" w:color="auto" w:fill="9FB8CD" w:themeFill="accent2"/>
      <w:spacing w:before="300" w:after="40"/>
      <w:outlineLvl w:val="0"/>
    </w:pPr>
    <w:rPr>
      <w:rFonts w:asciiTheme="majorHAnsi" w:hAnsiTheme="majorHAnsi"/>
      <w:color w:val="FFFFFF" w:themeColor="background1"/>
      <w:spacing w:val="5"/>
      <w:szCs w:val="32"/>
    </w:rPr>
  </w:style>
  <w:style w:type="paragraph" w:styleId="Heading2">
    <w:name w:val="heading 2"/>
    <w:basedOn w:val="Normal"/>
    <w:next w:val="Normal"/>
    <w:link w:val="Heading2Char"/>
    <w:uiPriority w:val="9"/>
    <w:qFormat/>
    <w:rsid w:val="00517E62"/>
    <w:pPr>
      <w:pBdr>
        <w:top w:val="single" w:sz="6" w:space="1" w:color="9FB8CD" w:themeColor="accent2"/>
        <w:left w:val="single" w:sz="48" w:space="1" w:color="9FB8CD" w:themeColor="accent2"/>
        <w:bottom w:val="single" w:sz="6" w:space="1" w:color="9FB8CD" w:themeColor="accent2"/>
        <w:right w:val="single" w:sz="6" w:space="1" w:color="9FB8CD" w:themeColor="accent2"/>
      </w:pBdr>
      <w:spacing w:before="240" w:after="80"/>
      <w:ind w:left="144"/>
      <w:outlineLvl w:val="1"/>
    </w:pPr>
    <w:rPr>
      <w:rFonts w:asciiTheme="majorHAnsi" w:hAnsiTheme="majorHAnsi"/>
      <w:color w:val="7030A0"/>
      <w:spacing w:val="5"/>
      <w:szCs w:val="28"/>
    </w:rPr>
  </w:style>
  <w:style w:type="paragraph" w:styleId="Heading3">
    <w:name w:val="heading 3"/>
    <w:basedOn w:val="Normal"/>
    <w:next w:val="Normal"/>
    <w:link w:val="Heading3Char"/>
    <w:uiPriority w:val="9"/>
    <w:unhideWhenUsed/>
    <w:qFormat/>
    <w:pPr>
      <w:pBdr>
        <w:top w:val="single" w:sz="6" w:space="1" w:color="A6A6A6" w:themeColor="background1" w:themeShade="A6"/>
        <w:left w:val="single" w:sz="48" w:space="1" w:color="A6A6A6" w:themeColor="background1" w:themeShade="A6"/>
        <w:bottom w:val="single" w:sz="6" w:space="1" w:color="A6A6A6" w:themeColor="background1" w:themeShade="A6"/>
        <w:right w:val="single" w:sz="6" w:space="1" w:color="A6A6A6" w:themeColor="background1" w:themeShade="A6"/>
      </w:pBdr>
      <w:spacing w:before="200" w:after="80"/>
      <w:ind w:left="144"/>
      <w:outlineLvl w:val="2"/>
    </w:pPr>
    <w:rPr>
      <w:rFonts w:asciiTheme="majorHAnsi" w:hAnsiTheme="majorHAnsi"/>
      <w:color w:val="595959" w:themeColor="text1" w:themeTint="A6"/>
      <w:spacing w:val="5"/>
      <w:szCs w:val="24"/>
    </w:rPr>
  </w:style>
  <w:style w:type="paragraph" w:styleId="Heading4">
    <w:name w:val="heading 4"/>
    <w:basedOn w:val="Normal"/>
    <w:next w:val="Normal"/>
    <w:link w:val="Heading4Char"/>
    <w:uiPriority w:val="9"/>
    <w:unhideWhenUsed/>
    <w:qFormat/>
    <w:pPr>
      <w:pBdr>
        <w:bottom w:val="single" w:sz="6" w:space="1" w:color="A6A6A6" w:themeColor="background1" w:themeShade="A6"/>
      </w:pBdr>
      <w:spacing w:before="200" w:after="80"/>
      <w:outlineLvl w:val="3"/>
    </w:pPr>
    <w:rPr>
      <w:rFonts w:asciiTheme="majorHAnsi" w:hAnsiTheme="majorHAnsi"/>
      <w:color w:val="595959" w:themeColor="text1" w:themeTint="A6"/>
      <w:szCs w:val="22"/>
    </w:rPr>
  </w:style>
  <w:style w:type="paragraph" w:styleId="Heading5">
    <w:name w:val="heading 5"/>
    <w:basedOn w:val="Normal"/>
    <w:next w:val="Normal"/>
    <w:link w:val="Heading5Char"/>
    <w:uiPriority w:val="9"/>
    <w:semiHidden/>
    <w:unhideWhenUsed/>
    <w:qFormat/>
    <w:pPr>
      <w:pBdr>
        <w:bottom w:val="dashed" w:sz="4" w:space="1" w:color="A6A6A6" w:themeColor="background1" w:themeShade="A6"/>
      </w:pBdr>
      <w:spacing w:before="200" w:after="80"/>
      <w:outlineLvl w:val="4"/>
    </w:pPr>
    <w:rPr>
      <w:rFonts w:asciiTheme="majorHAnsi" w:hAnsiTheme="majorHAnsi"/>
      <w:color w:val="404040" w:themeColor="text1" w:themeTint="BF"/>
      <w:szCs w:val="26"/>
    </w:rPr>
  </w:style>
  <w:style w:type="paragraph" w:styleId="Heading6">
    <w:name w:val="heading 6"/>
    <w:basedOn w:val="Normal"/>
    <w:next w:val="Normal"/>
    <w:link w:val="Heading6Char"/>
    <w:uiPriority w:val="9"/>
    <w:semiHidden/>
    <w:unhideWhenUsed/>
    <w:qFormat/>
    <w:pPr>
      <w:spacing w:before="200" w:after="80"/>
      <w:outlineLvl w:val="5"/>
    </w:pPr>
    <w:rPr>
      <w:rFonts w:asciiTheme="majorHAnsi" w:hAnsiTheme="majorHAnsi"/>
      <w:b/>
      <w:color w:val="7F7F7F" w:themeColor="background1" w:themeShade="7F"/>
      <w:sz w:val="18"/>
    </w:rPr>
  </w:style>
  <w:style w:type="paragraph" w:styleId="Heading7">
    <w:name w:val="heading 7"/>
    <w:basedOn w:val="Normal"/>
    <w:next w:val="Normal"/>
    <w:link w:val="Heading7Char"/>
    <w:uiPriority w:val="9"/>
    <w:semiHidden/>
    <w:unhideWhenUsed/>
    <w:qFormat/>
    <w:pPr>
      <w:spacing w:before="200" w:after="80"/>
      <w:outlineLvl w:val="6"/>
    </w:pPr>
    <w:rPr>
      <w:rFonts w:asciiTheme="majorHAnsi" w:hAnsiTheme="majorHAnsi"/>
      <w:b/>
      <w:i/>
      <w:color w:val="808080" w:themeColor="background1" w:themeShade="80"/>
      <w:sz w:val="18"/>
    </w:rPr>
  </w:style>
  <w:style w:type="paragraph" w:styleId="Heading8">
    <w:name w:val="heading 8"/>
    <w:basedOn w:val="Normal"/>
    <w:next w:val="Normal"/>
    <w:link w:val="Heading8Char"/>
    <w:uiPriority w:val="9"/>
    <w:semiHidden/>
    <w:unhideWhenUsed/>
    <w:qFormat/>
    <w:pPr>
      <w:spacing w:before="200" w:after="80"/>
      <w:outlineLvl w:val="7"/>
    </w:pPr>
    <w:rPr>
      <w:rFonts w:asciiTheme="majorHAnsi" w:hAnsiTheme="majorHAnsi"/>
      <w:color w:val="9FB8CD" w:themeColor="accent2"/>
      <w:sz w:val="18"/>
    </w:rPr>
  </w:style>
  <w:style w:type="paragraph" w:styleId="Heading9">
    <w:name w:val="heading 9"/>
    <w:basedOn w:val="Normal"/>
    <w:next w:val="Normal"/>
    <w:link w:val="Heading9Char"/>
    <w:uiPriority w:val="9"/>
    <w:semiHidden/>
    <w:unhideWhenUsed/>
    <w:qFormat/>
    <w:pPr>
      <w:spacing w:before="200" w:after="80"/>
      <w:outlineLvl w:val="8"/>
    </w:pPr>
    <w:rPr>
      <w:rFonts w:asciiTheme="majorHAnsi" w:hAnsiTheme="majorHAnsi"/>
      <w:i/>
      <w:color w:val="9FB8CD" w:themeColor="accent2"/>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olor w:val="FFFFFF" w:themeColor="background1"/>
      <w:spacing w:val="5"/>
      <w:sz w:val="20"/>
      <w:szCs w:val="32"/>
      <w:shd w:val="clear" w:color="auto" w:fill="9FB8CD" w:themeFill="accent2"/>
      <w:lang w:eastAsia="ja-JP"/>
    </w:rPr>
  </w:style>
  <w:style w:type="character" w:customStyle="1" w:styleId="Heading2Char">
    <w:name w:val="Heading 2 Char"/>
    <w:basedOn w:val="DefaultParagraphFont"/>
    <w:link w:val="Heading2"/>
    <w:uiPriority w:val="9"/>
    <w:rsid w:val="00517E62"/>
    <w:rPr>
      <w:rFonts w:asciiTheme="majorHAnsi" w:hAnsiTheme="majorHAnsi"/>
      <w:color w:val="7030A0"/>
      <w:spacing w:val="5"/>
      <w:sz w:val="20"/>
      <w:szCs w:val="28"/>
      <w:lang w:eastAsia="ja-JP"/>
    </w:rPr>
  </w:style>
  <w:style w:type="character" w:customStyle="1" w:styleId="Heading3Char">
    <w:name w:val="Heading 3 Char"/>
    <w:basedOn w:val="DefaultParagraphFont"/>
    <w:link w:val="Heading3"/>
    <w:uiPriority w:val="9"/>
    <w:rPr>
      <w:rFonts w:asciiTheme="majorHAnsi" w:hAnsiTheme="majorHAnsi"/>
      <w:color w:val="595959" w:themeColor="text1" w:themeTint="A6"/>
      <w:spacing w:val="5"/>
      <w:sz w:val="20"/>
      <w:szCs w:val="24"/>
      <w:lang w:eastAsia="ja-JP"/>
    </w:rPr>
  </w:style>
  <w:style w:type="paragraph" w:styleId="Title">
    <w:name w:val="Title"/>
    <w:basedOn w:val="Normal"/>
    <w:link w:val="TitleChar"/>
    <w:uiPriority w:val="10"/>
    <w:qFormat/>
    <w:pPr>
      <w:spacing w:line="240" w:lineRule="auto"/>
    </w:pPr>
    <w:rPr>
      <w:rFonts w:asciiTheme="majorHAnsi" w:hAnsiTheme="majorHAnsi"/>
      <w:color w:val="9FB8CD" w:themeColor="accent2"/>
      <w:sz w:val="52"/>
      <w:szCs w:val="48"/>
    </w:rPr>
  </w:style>
  <w:style w:type="character" w:customStyle="1" w:styleId="TitleChar">
    <w:name w:val="Title Char"/>
    <w:basedOn w:val="DefaultParagraphFont"/>
    <w:link w:val="Title"/>
    <w:uiPriority w:val="10"/>
    <w:rPr>
      <w:rFonts w:asciiTheme="majorHAnsi" w:hAnsiTheme="majorHAnsi"/>
      <w:color w:val="9FB8CD" w:themeColor="accent2"/>
      <w:sz w:val="52"/>
      <w:szCs w:val="48"/>
      <w:lang w:eastAsia="ja-JP"/>
    </w:rPr>
  </w:style>
  <w:style w:type="paragraph" w:styleId="Subtitle">
    <w:name w:val="Subtitle"/>
    <w:basedOn w:val="Normal"/>
    <w:link w:val="SubtitleChar"/>
    <w:uiPriority w:val="11"/>
    <w:qFormat/>
    <w:pPr>
      <w:spacing w:after="720" w:line="240" w:lineRule="auto"/>
    </w:pPr>
    <w:rPr>
      <w:rFonts w:asciiTheme="majorHAnsi" w:hAnsiTheme="majorHAnsi" w:cstheme="minorHAnsi"/>
      <w:color w:val="9FB8CD" w:themeColor="accent2"/>
      <w:sz w:val="24"/>
      <w:szCs w:val="24"/>
    </w:rPr>
  </w:style>
  <w:style w:type="character" w:customStyle="1" w:styleId="SubtitleChar">
    <w:name w:val="Subtitle Char"/>
    <w:basedOn w:val="DefaultParagraphFont"/>
    <w:link w:val="Subtitle"/>
    <w:uiPriority w:val="11"/>
    <w:rPr>
      <w:rFonts w:asciiTheme="majorHAnsi" w:hAnsiTheme="majorHAnsi" w:cstheme="minorHAnsi"/>
      <w:color w:val="9FB8CD" w:themeColor="accent2"/>
      <w:sz w:val="24"/>
      <w:szCs w:val="24"/>
      <w:lang w:eastAsia="ja-JP"/>
    </w:rPr>
  </w:style>
  <w:style w:type="paragraph" w:styleId="Caption">
    <w:name w:val="caption"/>
    <w:basedOn w:val="Normal"/>
    <w:next w:val="Normal"/>
    <w:uiPriority w:val="35"/>
    <w:unhideWhenUsed/>
    <w:pPr>
      <w:spacing w:after="0" w:line="240" w:lineRule="auto"/>
    </w:pPr>
    <w:rPr>
      <w:bCs/>
      <w:color w:val="9FB8CD" w:themeColor="accent2"/>
      <w:sz w:val="16"/>
      <w:szCs w:val="18"/>
    </w:rPr>
  </w:style>
  <w:style w:type="paragraph" w:styleId="NoSpacing">
    <w:name w:val="No Spacing"/>
    <w:basedOn w:val="Normal"/>
    <w:uiPriority w:val="99"/>
    <w:qFormat/>
    <w:pPr>
      <w:spacing w:after="0" w:line="240" w:lineRule="auto"/>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000000" w:themeColor="text1"/>
      <w:sz w:val="16"/>
      <w:szCs w:val="16"/>
      <w:lang w:eastAsia="ja-JP"/>
    </w:rPr>
  </w:style>
  <w:style w:type="character" w:styleId="BookTitle">
    <w:name w:val="Book Title"/>
    <w:basedOn w:val="DefaultParagraphFont"/>
    <w:uiPriority w:val="33"/>
    <w:qFormat/>
    <w:rPr>
      <w:rFonts w:asciiTheme="majorHAnsi" w:hAnsiTheme="majorHAnsi" w:cs="Times New Roman"/>
      <w:i/>
      <w:color w:val="8E736A" w:themeColor="accent6"/>
      <w:sz w:val="20"/>
      <w:szCs w:val="20"/>
    </w:rPr>
  </w:style>
  <w:style w:type="character" w:styleId="Emphasis">
    <w:name w:val="Emphasis"/>
    <w:uiPriority w:val="20"/>
    <w:qFormat/>
    <w:rPr>
      <w:b/>
      <w:i/>
      <w:spacing w:val="0"/>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color w:val="000000" w:themeColor="text1"/>
      <w:sz w:val="20"/>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color w:val="000000" w:themeColor="text1"/>
      <w:sz w:val="20"/>
      <w:szCs w:val="20"/>
      <w:lang w:eastAsia="ja-JP"/>
    </w:rPr>
  </w:style>
  <w:style w:type="character" w:customStyle="1" w:styleId="Heading4Char">
    <w:name w:val="Heading 4 Char"/>
    <w:basedOn w:val="DefaultParagraphFont"/>
    <w:link w:val="Heading4"/>
    <w:uiPriority w:val="9"/>
    <w:rPr>
      <w:rFonts w:asciiTheme="majorHAnsi" w:hAnsiTheme="majorHAnsi"/>
      <w:color w:val="595959" w:themeColor="text1" w:themeTint="A6"/>
      <w:sz w:val="20"/>
      <w:lang w:eastAsia="ja-JP"/>
    </w:rPr>
  </w:style>
  <w:style w:type="character" w:customStyle="1" w:styleId="Heading5Char">
    <w:name w:val="Heading 5 Char"/>
    <w:basedOn w:val="DefaultParagraphFont"/>
    <w:link w:val="Heading5"/>
    <w:uiPriority w:val="9"/>
    <w:semiHidden/>
    <w:rPr>
      <w:rFonts w:asciiTheme="majorHAnsi" w:hAnsiTheme="majorHAnsi"/>
      <w:color w:val="404040" w:themeColor="text1" w:themeTint="BF"/>
      <w:sz w:val="20"/>
      <w:szCs w:val="26"/>
      <w:lang w:eastAsia="ja-JP"/>
    </w:rPr>
  </w:style>
  <w:style w:type="character" w:customStyle="1" w:styleId="Heading6Char">
    <w:name w:val="Heading 6 Char"/>
    <w:basedOn w:val="DefaultParagraphFont"/>
    <w:link w:val="Heading6"/>
    <w:uiPriority w:val="9"/>
    <w:semiHidden/>
    <w:rPr>
      <w:rFonts w:asciiTheme="majorHAnsi" w:hAnsiTheme="majorHAnsi"/>
      <w:b/>
      <w:color w:val="7F7F7F" w:themeColor="background1" w:themeShade="7F"/>
      <w:sz w:val="18"/>
      <w:szCs w:val="20"/>
      <w:lang w:eastAsia="ja-JP"/>
    </w:rPr>
  </w:style>
  <w:style w:type="character" w:customStyle="1" w:styleId="Heading7Char">
    <w:name w:val="Heading 7 Char"/>
    <w:basedOn w:val="DefaultParagraphFont"/>
    <w:link w:val="Heading7"/>
    <w:uiPriority w:val="9"/>
    <w:semiHidden/>
    <w:rPr>
      <w:rFonts w:asciiTheme="majorHAnsi" w:hAnsiTheme="majorHAnsi"/>
      <w:b/>
      <w:i/>
      <w:color w:val="808080" w:themeColor="background1" w:themeShade="80"/>
      <w:sz w:val="18"/>
      <w:szCs w:val="20"/>
      <w:lang w:eastAsia="ja-JP"/>
    </w:rPr>
  </w:style>
  <w:style w:type="character" w:customStyle="1" w:styleId="Heading8Char">
    <w:name w:val="Heading 8 Char"/>
    <w:basedOn w:val="DefaultParagraphFont"/>
    <w:link w:val="Heading8"/>
    <w:uiPriority w:val="9"/>
    <w:semiHidden/>
    <w:rPr>
      <w:rFonts w:asciiTheme="majorHAnsi" w:hAnsiTheme="majorHAnsi"/>
      <w:color w:val="9FB8CD" w:themeColor="accent2"/>
      <w:sz w:val="18"/>
      <w:szCs w:val="20"/>
      <w:lang w:eastAsia="ja-JP"/>
    </w:rPr>
  </w:style>
  <w:style w:type="character" w:customStyle="1" w:styleId="Heading9Char">
    <w:name w:val="Heading 9 Char"/>
    <w:basedOn w:val="DefaultParagraphFont"/>
    <w:link w:val="Heading9"/>
    <w:uiPriority w:val="9"/>
    <w:semiHidden/>
    <w:rPr>
      <w:rFonts w:asciiTheme="majorHAnsi" w:hAnsiTheme="majorHAnsi"/>
      <w:i/>
      <w:color w:val="9FB8CD" w:themeColor="accent2"/>
      <w:sz w:val="18"/>
      <w:szCs w:val="20"/>
      <w:lang w:eastAsia="ja-JP"/>
    </w:rPr>
  </w:style>
  <w:style w:type="character" w:styleId="IntenseEmphasis">
    <w:name w:val="Intense Emphasis"/>
    <w:basedOn w:val="DefaultParagraphFont"/>
    <w:uiPriority w:val="21"/>
    <w:qFormat/>
    <w:rPr>
      <w:rFonts w:cs="Times New Roman"/>
      <w:b/>
      <w:i/>
      <w:color w:val="BAC737" w:themeColor="accent3" w:themeShade="BF"/>
      <w:sz w:val="20"/>
      <w:szCs w:val="20"/>
    </w:rPr>
  </w:style>
  <w:style w:type="paragraph" w:styleId="IntenseQuote">
    <w:name w:val="Intense Quote"/>
    <w:basedOn w:val="Normal"/>
    <w:link w:val="IntenseQuoteChar"/>
    <w:uiPriority w:val="30"/>
    <w:qFormat/>
    <w:pPr>
      <w:pBdr>
        <w:top w:val="single" w:sz="6" w:space="10" w:color="628BAD" w:themeColor="accent2" w:themeShade="BF"/>
        <w:left w:val="single" w:sz="6" w:space="10" w:color="628BAD" w:themeColor="accent2" w:themeShade="BF"/>
        <w:bottom w:val="single" w:sz="6" w:space="10" w:color="628BAD" w:themeColor="accent2" w:themeShade="BF"/>
        <w:right w:val="single" w:sz="6" w:space="10" w:color="628BAD" w:themeColor="accent2" w:themeShade="BF"/>
      </w:pBdr>
      <w:shd w:val="clear" w:color="auto" w:fill="9FB8CD" w:themeFill="accent2"/>
      <w:ind w:left="720" w:right="720"/>
      <w:jc w:val="center"/>
    </w:pPr>
    <w:rPr>
      <w:rFonts w:asciiTheme="majorHAnsi" w:hAnsiTheme="majorHAnsi"/>
      <w:i/>
      <w:color w:val="FFFFFF" w:themeColor="background1"/>
    </w:rPr>
  </w:style>
  <w:style w:type="character" w:customStyle="1" w:styleId="IntenseQuoteChar">
    <w:name w:val="Intense Quote Char"/>
    <w:basedOn w:val="DefaultParagraphFont"/>
    <w:link w:val="IntenseQuote"/>
    <w:uiPriority w:val="30"/>
    <w:rPr>
      <w:rFonts w:asciiTheme="majorHAnsi" w:hAnsiTheme="majorHAnsi"/>
      <w:i/>
      <w:color w:val="FFFFFF" w:themeColor="background1"/>
      <w:sz w:val="20"/>
      <w:szCs w:val="20"/>
      <w:shd w:val="clear" w:color="auto" w:fill="9FB8CD" w:themeFill="accent2"/>
      <w:lang w:eastAsia="ja-JP"/>
    </w:rPr>
  </w:style>
  <w:style w:type="character" w:styleId="IntenseReference">
    <w:name w:val="Intense Reference"/>
    <w:basedOn w:val="DefaultParagraphFont"/>
    <w:uiPriority w:val="32"/>
    <w:qFormat/>
    <w:rPr>
      <w:rFonts w:cs="Times New Roman"/>
      <w:b/>
      <w:color w:val="525A7D" w:themeColor="accent1" w:themeShade="BF"/>
      <w:sz w:val="20"/>
      <w:szCs w:val="20"/>
      <w:u w:val="single"/>
    </w:rPr>
  </w:style>
  <w:style w:type="paragraph" w:styleId="ListBullet">
    <w:name w:val="List Bullet"/>
    <w:basedOn w:val="Normal"/>
    <w:uiPriority w:val="36"/>
    <w:unhideWhenUsed/>
    <w:qFormat/>
    <w:pPr>
      <w:numPr>
        <w:numId w:val="16"/>
      </w:numPr>
      <w:spacing w:after="120"/>
      <w:contextualSpacing/>
    </w:pPr>
  </w:style>
  <w:style w:type="paragraph" w:styleId="ListBullet2">
    <w:name w:val="List Bullet 2"/>
    <w:basedOn w:val="Normal"/>
    <w:uiPriority w:val="36"/>
    <w:unhideWhenUsed/>
    <w:qFormat/>
    <w:pPr>
      <w:numPr>
        <w:numId w:val="17"/>
      </w:numPr>
      <w:spacing w:after="120"/>
      <w:contextualSpacing/>
    </w:pPr>
  </w:style>
  <w:style w:type="paragraph" w:styleId="ListBullet3">
    <w:name w:val="List Bullet 3"/>
    <w:basedOn w:val="Normal"/>
    <w:uiPriority w:val="36"/>
    <w:unhideWhenUsed/>
    <w:qFormat/>
    <w:pPr>
      <w:numPr>
        <w:numId w:val="18"/>
      </w:numPr>
      <w:spacing w:after="120"/>
      <w:contextualSpacing/>
    </w:pPr>
  </w:style>
  <w:style w:type="paragraph" w:styleId="ListBullet4">
    <w:name w:val="List Bullet 4"/>
    <w:basedOn w:val="Normal"/>
    <w:uiPriority w:val="36"/>
    <w:unhideWhenUsed/>
    <w:qFormat/>
    <w:pPr>
      <w:numPr>
        <w:numId w:val="19"/>
      </w:numPr>
      <w:spacing w:after="120"/>
      <w:contextualSpacing/>
    </w:pPr>
  </w:style>
  <w:style w:type="paragraph" w:styleId="ListBullet5">
    <w:name w:val="List Bullet 5"/>
    <w:basedOn w:val="Normal"/>
    <w:uiPriority w:val="36"/>
    <w:unhideWhenUsed/>
    <w:qFormat/>
    <w:pPr>
      <w:numPr>
        <w:numId w:val="20"/>
      </w:numPr>
      <w:spacing w:after="120"/>
      <w:contextualSpacing/>
    </w:pPr>
  </w:style>
  <w:style w:type="character" w:styleId="PlaceholderText">
    <w:name w:val="Placeholder Text"/>
    <w:basedOn w:val="DefaultParagraphFont"/>
    <w:uiPriority w:val="99"/>
    <w:semiHidden/>
    <w:rPr>
      <w:color w:val="808080"/>
    </w:rPr>
  </w:style>
  <w:style w:type="paragraph" w:styleId="Quote">
    <w:name w:val="Quote"/>
    <w:basedOn w:val="Normal"/>
    <w:link w:val="QuoteChar"/>
    <w:uiPriority w:val="29"/>
    <w:qFormat/>
    <w:rPr>
      <w:i/>
      <w:color w:val="7F7F7F" w:themeColor="background1" w:themeShade="7F"/>
    </w:rPr>
  </w:style>
  <w:style w:type="character" w:customStyle="1" w:styleId="QuoteChar">
    <w:name w:val="Quote Char"/>
    <w:basedOn w:val="DefaultParagraphFont"/>
    <w:link w:val="Quote"/>
    <w:uiPriority w:val="29"/>
    <w:rPr>
      <w:i/>
      <w:color w:val="7F7F7F" w:themeColor="background1" w:themeShade="7F"/>
      <w:sz w:val="20"/>
      <w:szCs w:val="20"/>
      <w:lang w:eastAsia="ja-JP"/>
    </w:rPr>
  </w:style>
  <w:style w:type="character" w:styleId="Strong">
    <w:name w:val="Strong"/>
    <w:uiPriority w:val="22"/>
    <w:qFormat/>
    <w:rPr>
      <w:rFonts w:asciiTheme="minorHAnsi" w:hAnsiTheme="minorHAnsi"/>
      <w:b/>
      <w:color w:val="9FB8CD" w:themeColor="accent2"/>
    </w:rPr>
  </w:style>
  <w:style w:type="character" w:styleId="SubtleEmphasis">
    <w:name w:val="Subtle Emphasis"/>
    <w:basedOn w:val="DefaultParagraphFont"/>
    <w:uiPriority w:val="19"/>
    <w:qFormat/>
    <w:rPr>
      <w:rFonts w:cs="Times New Roman"/>
      <w:i/>
      <w:color w:val="737373" w:themeColor="text1" w:themeTint="8C"/>
      <w:kern w:val="16"/>
      <w:sz w:val="20"/>
      <w:szCs w:val="24"/>
    </w:rPr>
  </w:style>
  <w:style w:type="character" w:styleId="SubtleReference">
    <w:name w:val="Subtle Reference"/>
    <w:basedOn w:val="DefaultParagraphFont"/>
    <w:uiPriority w:val="31"/>
    <w:qFormat/>
    <w:rPr>
      <w:rFonts w:cs="Times New Roman"/>
      <w:color w:val="737373" w:themeColor="text1" w:themeTint="8C"/>
      <w:sz w:val="20"/>
      <w:szCs w:val="20"/>
      <w:u w:val="single"/>
    </w:rPr>
  </w:style>
  <w:style w:type="table" w:styleId="TableGrid">
    <w:name w:val="Table Grid"/>
    <w:basedOn w:val="TableNormal"/>
    <w:uiPriority w:val="1"/>
    <w:pPr>
      <w:spacing w:after="0" w:line="240" w:lineRule="auto"/>
    </w:pPr>
    <w:rPr>
      <w:rFonts w:cs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99"/>
    <w:semiHidden/>
    <w:unhideWhenUsed/>
    <w:qFormat/>
    <w:pPr>
      <w:tabs>
        <w:tab w:val="right" w:leader="dot" w:pos="8630"/>
      </w:tabs>
      <w:spacing w:after="40" w:line="240" w:lineRule="auto"/>
    </w:pPr>
    <w:rPr>
      <w:smallCaps/>
      <w:noProof/>
      <w:color w:val="9FB8CD" w:themeColor="accent2"/>
    </w:rPr>
  </w:style>
  <w:style w:type="paragraph" w:styleId="TOC2">
    <w:name w:val="toc 2"/>
    <w:basedOn w:val="Normal"/>
    <w:next w:val="Normal"/>
    <w:autoRedefine/>
    <w:uiPriority w:val="99"/>
    <w:semiHidden/>
    <w:unhideWhenUsed/>
    <w:qFormat/>
    <w:pPr>
      <w:tabs>
        <w:tab w:val="right" w:leader="dot" w:pos="8630"/>
      </w:tabs>
      <w:spacing w:after="40" w:line="240" w:lineRule="auto"/>
      <w:ind w:left="216"/>
    </w:pPr>
    <w:rPr>
      <w:smallCaps/>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446"/>
    </w:pPr>
    <w:rPr>
      <w:smallCaps/>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662"/>
    </w:pPr>
    <w:rPr>
      <w:smallCaps/>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878"/>
    </w:pPr>
    <w:rPr>
      <w:smallCaps/>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1094"/>
    </w:pPr>
    <w:rPr>
      <w:smallCaps/>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1325"/>
    </w:pPr>
    <w:rPr>
      <w:smallCaps/>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540"/>
    </w:pPr>
    <w:rPr>
      <w:smallCaps/>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760"/>
    </w:pPr>
    <w:rPr>
      <w:smallCaps/>
      <w:noProof/>
    </w:rPr>
  </w:style>
  <w:style w:type="paragraph" w:customStyle="1" w:styleId="FooterLeft">
    <w:name w:val="Footer Left"/>
    <w:basedOn w:val="Normal"/>
    <w:next w:val="Normal"/>
    <w:uiPriority w:val="35"/>
    <w:qFormat/>
    <w:pPr>
      <w:pBdr>
        <w:top w:val="dashed" w:sz="4" w:space="18" w:color="7F7F7F" w:themeColor="text1" w:themeTint="80"/>
      </w:pBdr>
      <w:tabs>
        <w:tab w:val="center" w:pos="4320"/>
        <w:tab w:val="right" w:pos="8640"/>
      </w:tabs>
      <w:spacing w:line="240" w:lineRule="auto"/>
      <w:contextualSpacing/>
    </w:pPr>
    <w:rPr>
      <w:color w:val="7F7F7F" w:themeColor="text1" w:themeTint="80"/>
      <w:szCs w:val="18"/>
    </w:rPr>
  </w:style>
  <w:style w:type="paragraph" w:customStyle="1" w:styleId="FooterRight">
    <w:name w:val="Footer Right"/>
    <w:basedOn w:val="Footer"/>
    <w:uiPriority w:val="35"/>
    <w:qFormat/>
    <w:pPr>
      <w:pBdr>
        <w:top w:val="dashed" w:sz="4" w:space="18" w:color="7F7F7F"/>
      </w:pBdr>
      <w:spacing w:line="240" w:lineRule="auto"/>
      <w:contextualSpacing/>
      <w:jc w:val="right"/>
    </w:pPr>
    <w:rPr>
      <w:color w:val="7F7F7F" w:themeColor="text1" w:themeTint="80"/>
      <w:szCs w:val="18"/>
    </w:rPr>
  </w:style>
  <w:style w:type="paragraph" w:customStyle="1" w:styleId="HeaderFirstPage">
    <w:name w:val="Header First Page"/>
    <w:basedOn w:val="Normal"/>
    <w:next w:val="Normal"/>
    <w:uiPriority w:val="39"/>
    <w:pPr>
      <w:pBdr>
        <w:bottom w:val="dashed" w:sz="4" w:space="18" w:color="7F7F7F" w:themeColor="text1" w:themeTint="80"/>
      </w:pBdr>
      <w:tabs>
        <w:tab w:val="center" w:pos="4320"/>
        <w:tab w:val="right" w:pos="8640"/>
      </w:tabs>
      <w:spacing w:line="396" w:lineRule="auto"/>
    </w:pPr>
  </w:style>
  <w:style w:type="paragraph" w:customStyle="1" w:styleId="HeaderLeft">
    <w:name w:val="Header Left"/>
    <w:basedOn w:val="Header"/>
    <w:uiPriority w:val="35"/>
    <w:qFormat/>
    <w:pPr>
      <w:pBdr>
        <w:bottom w:val="dashed" w:sz="4" w:space="18" w:color="7F7F7F" w:themeColor="text1" w:themeTint="80"/>
      </w:pBdr>
      <w:spacing w:line="396" w:lineRule="auto"/>
    </w:pPr>
    <w:rPr>
      <w:color w:val="7F7F7F" w:themeColor="text1" w:themeTint="80"/>
    </w:rPr>
  </w:style>
  <w:style w:type="paragraph" w:customStyle="1" w:styleId="HeaderRight">
    <w:name w:val="Header Right"/>
    <w:basedOn w:val="Header"/>
    <w:uiPriority w:val="35"/>
    <w:qFormat/>
    <w:pPr>
      <w:pBdr>
        <w:bottom w:val="dashed" w:sz="4" w:space="18" w:color="7F7F7F"/>
      </w:pBdr>
      <w:jc w:val="right"/>
    </w:pPr>
    <w:rPr>
      <w:color w:val="7F7F7F" w:themeColor="text1" w:themeTint="80"/>
    </w:rPr>
  </w:style>
  <w:style w:type="paragraph" w:styleId="NormalWeb">
    <w:name w:val="Normal (Web)"/>
    <w:basedOn w:val="Normal"/>
    <w:uiPriority w:val="99"/>
    <w:semiHidden/>
    <w:unhideWhenUsed/>
    <w:rsid w:val="00654630"/>
    <w:rPr>
      <w:rFonts w:ascii="Times New Roman" w:hAnsi="Times New Roman" w:cs="Times New Roman"/>
      <w:sz w:val="24"/>
      <w:szCs w:val="24"/>
    </w:rPr>
  </w:style>
  <w:style w:type="paragraph" w:styleId="ListParagraph">
    <w:name w:val="List Paragraph"/>
    <w:basedOn w:val="Normal"/>
    <w:uiPriority w:val="34"/>
    <w:qFormat/>
    <w:rsid w:val="00AB38DB"/>
    <w:pPr>
      <w:ind w:left="720"/>
      <w:contextualSpacing/>
    </w:pPr>
  </w:style>
  <w:style w:type="character" w:styleId="CommentReference">
    <w:name w:val="annotation reference"/>
    <w:basedOn w:val="DefaultParagraphFont"/>
    <w:uiPriority w:val="99"/>
    <w:semiHidden/>
    <w:unhideWhenUsed/>
    <w:rsid w:val="00922B46"/>
    <w:rPr>
      <w:sz w:val="16"/>
      <w:szCs w:val="16"/>
    </w:rPr>
  </w:style>
  <w:style w:type="paragraph" w:styleId="CommentText">
    <w:name w:val="annotation text"/>
    <w:basedOn w:val="Normal"/>
    <w:link w:val="CommentTextChar"/>
    <w:uiPriority w:val="99"/>
    <w:unhideWhenUsed/>
    <w:rsid w:val="00922B46"/>
    <w:pPr>
      <w:spacing w:after="160" w:line="240" w:lineRule="auto"/>
    </w:pPr>
    <w:rPr>
      <w:color w:val="auto"/>
      <w:kern w:val="2"/>
      <w:lang w:val="en-GB" w:eastAsia="en-US"/>
      <w14:ligatures w14:val="standardContextual"/>
    </w:rPr>
  </w:style>
  <w:style w:type="character" w:customStyle="1" w:styleId="CommentTextChar">
    <w:name w:val="Comment Text Char"/>
    <w:basedOn w:val="DefaultParagraphFont"/>
    <w:link w:val="CommentText"/>
    <w:uiPriority w:val="99"/>
    <w:rsid w:val="00922B46"/>
    <w:rPr>
      <w:kern w:val="2"/>
      <w:sz w:val="20"/>
      <w:szCs w:val="20"/>
      <w:lang w:val="en-GB"/>
      <w14:ligatures w14:val="standardContextual"/>
    </w:rPr>
  </w:style>
  <w:style w:type="paragraph" w:styleId="CommentSubject">
    <w:name w:val="annotation subject"/>
    <w:basedOn w:val="CommentText"/>
    <w:next w:val="CommentText"/>
    <w:link w:val="CommentSubjectChar"/>
    <w:uiPriority w:val="99"/>
    <w:semiHidden/>
    <w:unhideWhenUsed/>
    <w:rsid w:val="008D3FD2"/>
    <w:pPr>
      <w:spacing w:after="200"/>
    </w:pPr>
    <w:rPr>
      <w:b/>
      <w:bCs/>
      <w:color w:val="000000" w:themeColor="text1"/>
      <w:kern w:val="0"/>
      <w:lang w:val="en-US" w:eastAsia="ja-JP"/>
      <w14:ligatures w14:val="none"/>
    </w:rPr>
  </w:style>
  <w:style w:type="character" w:customStyle="1" w:styleId="CommentSubjectChar">
    <w:name w:val="Comment Subject Char"/>
    <w:basedOn w:val="CommentTextChar"/>
    <w:link w:val="CommentSubject"/>
    <w:uiPriority w:val="99"/>
    <w:semiHidden/>
    <w:rsid w:val="008D3FD2"/>
    <w:rPr>
      <w:b/>
      <w:bCs/>
      <w:color w:val="000000" w:themeColor="text1"/>
      <w:kern w:val="2"/>
      <w:sz w:val="20"/>
      <w:szCs w:val="20"/>
      <w:lang w:val="en-GB"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8012">
      <w:bodyDiv w:val="1"/>
      <w:marLeft w:val="0"/>
      <w:marRight w:val="0"/>
      <w:marTop w:val="0"/>
      <w:marBottom w:val="0"/>
      <w:divBdr>
        <w:top w:val="none" w:sz="0" w:space="0" w:color="auto"/>
        <w:left w:val="none" w:sz="0" w:space="0" w:color="auto"/>
        <w:bottom w:val="none" w:sz="0" w:space="0" w:color="auto"/>
        <w:right w:val="none" w:sz="0" w:space="0" w:color="auto"/>
      </w:divBdr>
    </w:div>
    <w:div w:id="41487269">
      <w:bodyDiv w:val="1"/>
      <w:marLeft w:val="0"/>
      <w:marRight w:val="0"/>
      <w:marTop w:val="0"/>
      <w:marBottom w:val="0"/>
      <w:divBdr>
        <w:top w:val="none" w:sz="0" w:space="0" w:color="auto"/>
        <w:left w:val="none" w:sz="0" w:space="0" w:color="auto"/>
        <w:bottom w:val="none" w:sz="0" w:space="0" w:color="auto"/>
        <w:right w:val="none" w:sz="0" w:space="0" w:color="auto"/>
      </w:divBdr>
    </w:div>
    <w:div w:id="64426238">
      <w:bodyDiv w:val="1"/>
      <w:marLeft w:val="0"/>
      <w:marRight w:val="0"/>
      <w:marTop w:val="0"/>
      <w:marBottom w:val="0"/>
      <w:divBdr>
        <w:top w:val="none" w:sz="0" w:space="0" w:color="auto"/>
        <w:left w:val="none" w:sz="0" w:space="0" w:color="auto"/>
        <w:bottom w:val="none" w:sz="0" w:space="0" w:color="auto"/>
        <w:right w:val="none" w:sz="0" w:space="0" w:color="auto"/>
      </w:divBdr>
    </w:div>
    <w:div w:id="89201504">
      <w:bodyDiv w:val="1"/>
      <w:marLeft w:val="0"/>
      <w:marRight w:val="0"/>
      <w:marTop w:val="0"/>
      <w:marBottom w:val="0"/>
      <w:divBdr>
        <w:top w:val="none" w:sz="0" w:space="0" w:color="auto"/>
        <w:left w:val="none" w:sz="0" w:space="0" w:color="auto"/>
        <w:bottom w:val="none" w:sz="0" w:space="0" w:color="auto"/>
        <w:right w:val="none" w:sz="0" w:space="0" w:color="auto"/>
      </w:divBdr>
    </w:div>
    <w:div w:id="105271576">
      <w:bodyDiv w:val="1"/>
      <w:marLeft w:val="0"/>
      <w:marRight w:val="0"/>
      <w:marTop w:val="0"/>
      <w:marBottom w:val="0"/>
      <w:divBdr>
        <w:top w:val="none" w:sz="0" w:space="0" w:color="auto"/>
        <w:left w:val="none" w:sz="0" w:space="0" w:color="auto"/>
        <w:bottom w:val="none" w:sz="0" w:space="0" w:color="auto"/>
        <w:right w:val="none" w:sz="0" w:space="0" w:color="auto"/>
      </w:divBdr>
    </w:div>
    <w:div w:id="413477929">
      <w:bodyDiv w:val="1"/>
      <w:marLeft w:val="0"/>
      <w:marRight w:val="0"/>
      <w:marTop w:val="0"/>
      <w:marBottom w:val="0"/>
      <w:divBdr>
        <w:top w:val="none" w:sz="0" w:space="0" w:color="auto"/>
        <w:left w:val="none" w:sz="0" w:space="0" w:color="auto"/>
        <w:bottom w:val="none" w:sz="0" w:space="0" w:color="auto"/>
        <w:right w:val="none" w:sz="0" w:space="0" w:color="auto"/>
      </w:divBdr>
    </w:div>
    <w:div w:id="556236702">
      <w:bodyDiv w:val="1"/>
      <w:marLeft w:val="0"/>
      <w:marRight w:val="0"/>
      <w:marTop w:val="0"/>
      <w:marBottom w:val="0"/>
      <w:divBdr>
        <w:top w:val="none" w:sz="0" w:space="0" w:color="auto"/>
        <w:left w:val="none" w:sz="0" w:space="0" w:color="auto"/>
        <w:bottom w:val="none" w:sz="0" w:space="0" w:color="auto"/>
        <w:right w:val="none" w:sz="0" w:space="0" w:color="auto"/>
      </w:divBdr>
    </w:div>
    <w:div w:id="613250625">
      <w:bodyDiv w:val="1"/>
      <w:marLeft w:val="0"/>
      <w:marRight w:val="0"/>
      <w:marTop w:val="0"/>
      <w:marBottom w:val="0"/>
      <w:divBdr>
        <w:top w:val="none" w:sz="0" w:space="0" w:color="auto"/>
        <w:left w:val="none" w:sz="0" w:space="0" w:color="auto"/>
        <w:bottom w:val="none" w:sz="0" w:space="0" w:color="auto"/>
        <w:right w:val="none" w:sz="0" w:space="0" w:color="auto"/>
      </w:divBdr>
    </w:div>
    <w:div w:id="756947378">
      <w:bodyDiv w:val="1"/>
      <w:marLeft w:val="0"/>
      <w:marRight w:val="0"/>
      <w:marTop w:val="0"/>
      <w:marBottom w:val="0"/>
      <w:divBdr>
        <w:top w:val="none" w:sz="0" w:space="0" w:color="auto"/>
        <w:left w:val="none" w:sz="0" w:space="0" w:color="auto"/>
        <w:bottom w:val="none" w:sz="0" w:space="0" w:color="auto"/>
        <w:right w:val="none" w:sz="0" w:space="0" w:color="auto"/>
      </w:divBdr>
    </w:div>
    <w:div w:id="802580277">
      <w:bodyDiv w:val="1"/>
      <w:marLeft w:val="0"/>
      <w:marRight w:val="0"/>
      <w:marTop w:val="0"/>
      <w:marBottom w:val="0"/>
      <w:divBdr>
        <w:top w:val="none" w:sz="0" w:space="0" w:color="auto"/>
        <w:left w:val="none" w:sz="0" w:space="0" w:color="auto"/>
        <w:bottom w:val="none" w:sz="0" w:space="0" w:color="auto"/>
        <w:right w:val="none" w:sz="0" w:space="0" w:color="auto"/>
      </w:divBdr>
    </w:div>
    <w:div w:id="949314314">
      <w:bodyDiv w:val="1"/>
      <w:marLeft w:val="0"/>
      <w:marRight w:val="0"/>
      <w:marTop w:val="0"/>
      <w:marBottom w:val="0"/>
      <w:divBdr>
        <w:top w:val="none" w:sz="0" w:space="0" w:color="auto"/>
        <w:left w:val="none" w:sz="0" w:space="0" w:color="auto"/>
        <w:bottom w:val="none" w:sz="0" w:space="0" w:color="auto"/>
        <w:right w:val="none" w:sz="0" w:space="0" w:color="auto"/>
      </w:divBdr>
    </w:div>
    <w:div w:id="1055929966">
      <w:bodyDiv w:val="1"/>
      <w:marLeft w:val="0"/>
      <w:marRight w:val="0"/>
      <w:marTop w:val="0"/>
      <w:marBottom w:val="0"/>
      <w:divBdr>
        <w:top w:val="none" w:sz="0" w:space="0" w:color="auto"/>
        <w:left w:val="none" w:sz="0" w:space="0" w:color="auto"/>
        <w:bottom w:val="none" w:sz="0" w:space="0" w:color="auto"/>
        <w:right w:val="none" w:sz="0" w:space="0" w:color="auto"/>
      </w:divBdr>
    </w:div>
    <w:div w:id="1081369228">
      <w:bodyDiv w:val="1"/>
      <w:marLeft w:val="0"/>
      <w:marRight w:val="0"/>
      <w:marTop w:val="0"/>
      <w:marBottom w:val="0"/>
      <w:divBdr>
        <w:top w:val="none" w:sz="0" w:space="0" w:color="auto"/>
        <w:left w:val="none" w:sz="0" w:space="0" w:color="auto"/>
        <w:bottom w:val="none" w:sz="0" w:space="0" w:color="auto"/>
        <w:right w:val="none" w:sz="0" w:space="0" w:color="auto"/>
      </w:divBdr>
    </w:div>
    <w:div w:id="1213881909">
      <w:bodyDiv w:val="1"/>
      <w:marLeft w:val="0"/>
      <w:marRight w:val="0"/>
      <w:marTop w:val="0"/>
      <w:marBottom w:val="0"/>
      <w:divBdr>
        <w:top w:val="none" w:sz="0" w:space="0" w:color="auto"/>
        <w:left w:val="none" w:sz="0" w:space="0" w:color="auto"/>
        <w:bottom w:val="none" w:sz="0" w:space="0" w:color="auto"/>
        <w:right w:val="none" w:sz="0" w:space="0" w:color="auto"/>
      </w:divBdr>
    </w:div>
    <w:div w:id="1268538967">
      <w:bodyDiv w:val="1"/>
      <w:marLeft w:val="0"/>
      <w:marRight w:val="0"/>
      <w:marTop w:val="0"/>
      <w:marBottom w:val="0"/>
      <w:divBdr>
        <w:top w:val="none" w:sz="0" w:space="0" w:color="auto"/>
        <w:left w:val="none" w:sz="0" w:space="0" w:color="auto"/>
        <w:bottom w:val="none" w:sz="0" w:space="0" w:color="auto"/>
        <w:right w:val="none" w:sz="0" w:space="0" w:color="auto"/>
      </w:divBdr>
    </w:div>
    <w:div w:id="1277129857">
      <w:bodyDiv w:val="1"/>
      <w:marLeft w:val="0"/>
      <w:marRight w:val="0"/>
      <w:marTop w:val="0"/>
      <w:marBottom w:val="0"/>
      <w:divBdr>
        <w:top w:val="none" w:sz="0" w:space="0" w:color="auto"/>
        <w:left w:val="none" w:sz="0" w:space="0" w:color="auto"/>
        <w:bottom w:val="none" w:sz="0" w:space="0" w:color="auto"/>
        <w:right w:val="none" w:sz="0" w:space="0" w:color="auto"/>
      </w:divBdr>
    </w:div>
    <w:div w:id="1393458916">
      <w:bodyDiv w:val="1"/>
      <w:marLeft w:val="0"/>
      <w:marRight w:val="0"/>
      <w:marTop w:val="0"/>
      <w:marBottom w:val="0"/>
      <w:divBdr>
        <w:top w:val="none" w:sz="0" w:space="0" w:color="auto"/>
        <w:left w:val="none" w:sz="0" w:space="0" w:color="auto"/>
        <w:bottom w:val="none" w:sz="0" w:space="0" w:color="auto"/>
        <w:right w:val="none" w:sz="0" w:space="0" w:color="auto"/>
      </w:divBdr>
    </w:div>
    <w:div w:id="1700084840">
      <w:bodyDiv w:val="1"/>
      <w:marLeft w:val="0"/>
      <w:marRight w:val="0"/>
      <w:marTop w:val="0"/>
      <w:marBottom w:val="0"/>
      <w:divBdr>
        <w:top w:val="none" w:sz="0" w:space="0" w:color="auto"/>
        <w:left w:val="none" w:sz="0" w:space="0" w:color="auto"/>
        <w:bottom w:val="none" w:sz="0" w:space="0" w:color="auto"/>
        <w:right w:val="none" w:sz="0" w:space="0" w:color="auto"/>
      </w:divBdr>
    </w:div>
    <w:div w:id="1880165283">
      <w:bodyDiv w:val="1"/>
      <w:marLeft w:val="0"/>
      <w:marRight w:val="0"/>
      <w:marTop w:val="0"/>
      <w:marBottom w:val="0"/>
      <w:divBdr>
        <w:top w:val="none" w:sz="0" w:space="0" w:color="auto"/>
        <w:left w:val="none" w:sz="0" w:space="0" w:color="auto"/>
        <w:bottom w:val="none" w:sz="0" w:space="0" w:color="auto"/>
        <w:right w:val="none" w:sz="0" w:space="0" w:color="auto"/>
      </w:divBdr>
    </w:div>
    <w:div w:id="1915427714">
      <w:bodyDiv w:val="1"/>
      <w:marLeft w:val="0"/>
      <w:marRight w:val="0"/>
      <w:marTop w:val="0"/>
      <w:marBottom w:val="0"/>
      <w:divBdr>
        <w:top w:val="none" w:sz="0" w:space="0" w:color="auto"/>
        <w:left w:val="none" w:sz="0" w:space="0" w:color="auto"/>
        <w:bottom w:val="none" w:sz="0" w:space="0" w:color="auto"/>
        <w:right w:val="none" w:sz="0" w:space="0" w:color="auto"/>
      </w:divBdr>
    </w:div>
    <w:div w:id="1937324605">
      <w:bodyDiv w:val="1"/>
      <w:marLeft w:val="0"/>
      <w:marRight w:val="0"/>
      <w:marTop w:val="0"/>
      <w:marBottom w:val="0"/>
      <w:divBdr>
        <w:top w:val="none" w:sz="0" w:space="0" w:color="auto"/>
        <w:left w:val="none" w:sz="0" w:space="0" w:color="auto"/>
        <w:bottom w:val="none" w:sz="0" w:space="0" w:color="auto"/>
        <w:right w:val="none" w:sz="0" w:space="0" w:color="auto"/>
      </w:divBdr>
    </w:div>
    <w:div w:id="2044017318">
      <w:bodyDiv w:val="1"/>
      <w:marLeft w:val="0"/>
      <w:marRight w:val="0"/>
      <w:marTop w:val="0"/>
      <w:marBottom w:val="0"/>
      <w:divBdr>
        <w:top w:val="none" w:sz="0" w:space="0" w:color="auto"/>
        <w:left w:val="none" w:sz="0" w:space="0" w:color="auto"/>
        <w:bottom w:val="none" w:sz="0" w:space="0" w:color="auto"/>
        <w:right w:val="none" w:sz="0" w:space="0" w:color="auto"/>
      </w:divBdr>
    </w:div>
    <w:div w:id="204913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2057\Origin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714F5486BB4262903E723F410AD5F2"/>
        <w:category>
          <w:name w:val="General"/>
          <w:gallery w:val="placeholder"/>
        </w:category>
        <w:types>
          <w:type w:val="bbPlcHdr"/>
        </w:types>
        <w:behaviors>
          <w:behavior w:val="content"/>
        </w:behaviors>
        <w:guid w:val="{D9ACE720-2BEA-47CA-8FBA-CE2560F28F20}"/>
      </w:docPartPr>
      <w:docPartBody>
        <w:p w:rsidR="00B05EFD" w:rsidRDefault="00B05EFD">
          <w:pPr>
            <w:pStyle w:val="0E714F5486BB4262903E723F410AD5F2"/>
          </w:pPr>
          <w:r>
            <w:rPr>
              <w:color w:val="4472C4" w:themeColor="accent1"/>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GMinchoE">
    <w:charset w:val="80"/>
    <w:family w:val="modern"/>
    <w:pitch w:val="fixed"/>
    <w:sig w:usb0="E00002FF" w:usb1="2AC7EDFE" w:usb2="00000012" w:usb3="00000000" w:csb0="00020001"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EFD"/>
    <w:rsid w:val="00464A5A"/>
    <w:rsid w:val="005D4786"/>
    <w:rsid w:val="00A3679C"/>
    <w:rsid w:val="00AE50B2"/>
    <w:rsid w:val="00B05EFD"/>
    <w:rsid w:val="00BC7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single" w:sz="6" w:space="1" w:color="ED7D31" w:themeColor="accent2"/>
        <w:left w:val="single" w:sz="6" w:space="1" w:color="ED7D31" w:themeColor="accent2"/>
        <w:bottom w:val="single" w:sz="6" w:space="1" w:color="ED7D31" w:themeColor="accent2"/>
        <w:right w:val="single" w:sz="6" w:space="1" w:color="ED7D31" w:themeColor="accent2"/>
      </w:pBdr>
      <w:shd w:val="clear" w:color="auto" w:fill="ED7D31" w:themeFill="accent2"/>
      <w:spacing w:before="300" w:after="40" w:line="276" w:lineRule="auto"/>
      <w:outlineLvl w:val="0"/>
    </w:pPr>
    <w:rPr>
      <w:rFonts w:asciiTheme="majorHAnsi" w:eastAsiaTheme="minorHAnsi" w:hAnsiTheme="majorHAnsi" w:cs="Times New Roman"/>
      <w:color w:val="FFFFFF" w:themeColor="background1"/>
      <w:spacing w:val="5"/>
      <w:kern w:val="0"/>
      <w:sz w:val="20"/>
      <w:szCs w:val="32"/>
      <w:lang w:val="en-US" w:eastAsia="ja-JP"/>
      <w14:ligatures w14:val="none"/>
    </w:rPr>
  </w:style>
  <w:style w:type="paragraph" w:styleId="Heading2">
    <w:name w:val="heading 2"/>
    <w:basedOn w:val="Normal"/>
    <w:next w:val="Normal"/>
    <w:link w:val="Heading2Char"/>
    <w:uiPriority w:val="9"/>
    <w:qFormat/>
    <w:pPr>
      <w:pBdr>
        <w:top w:val="single" w:sz="6" w:space="1" w:color="ED7D31" w:themeColor="accent2"/>
        <w:left w:val="single" w:sz="48" w:space="1" w:color="ED7D31" w:themeColor="accent2"/>
        <w:bottom w:val="single" w:sz="6" w:space="1" w:color="ED7D31" w:themeColor="accent2"/>
        <w:right w:val="single" w:sz="6" w:space="1" w:color="ED7D31" w:themeColor="accent2"/>
      </w:pBdr>
      <w:spacing w:before="240" w:after="80" w:line="276" w:lineRule="auto"/>
      <w:ind w:left="144"/>
      <w:outlineLvl w:val="1"/>
    </w:pPr>
    <w:rPr>
      <w:rFonts w:asciiTheme="majorHAnsi" w:eastAsiaTheme="minorHAnsi" w:hAnsiTheme="majorHAnsi" w:cs="Times New Roman"/>
      <w:color w:val="C45911" w:themeColor="accent2" w:themeShade="BF"/>
      <w:spacing w:val="5"/>
      <w:kern w:val="24"/>
      <w:sz w:val="20"/>
      <w:szCs w:val="28"/>
      <w:lang w:val="en-US" w:eastAsia="ja-JP"/>
      <w14:ligatures w14:val="none"/>
    </w:rPr>
  </w:style>
  <w:style w:type="paragraph" w:styleId="Heading3">
    <w:name w:val="heading 3"/>
    <w:basedOn w:val="Normal"/>
    <w:next w:val="Normal"/>
    <w:link w:val="Heading3Char"/>
    <w:uiPriority w:val="9"/>
    <w:unhideWhenUsed/>
    <w:qFormat/>
    <w:pPr>
      <w:pBdr>
        <w:top w:val="single" w:sz="6" w:space="1" w:color="A6A6A6" w:themeColor="background1" w:themeShade="A6"/>
        <w:left w:val="single" w:sz="48" w:space="1" w:color="A6A6A6" w:themeColor="background1" w:themeShade="A6"/>
        <w:bottom w:val="single" w:sz="6" w:space="1" w:color="A6A6A6" w:themeColor="background1" w:themeShade="A6"/>
        <w:right w:val="single" w:sz="6" w:space="1" w:color="A6A6A6" w:themeColor="background1" w:themeShade="A6"/>
      </w:pBdr>
      <w:spacing w:before="200" w:after="80" w:line="276" w:lineRule="auto"/>
      <w:ind w:left="144"/>
      <w:outlineLvl w:val="2"/>
    </w:pPr>
    <w:rPr>
      <w:rFonts w:asciiTheme="majorHAnsi" w:eastAsiaTheme="minorHAnsi" w:hAnsiTheme="majorHAnsi" w:cs="Times New Roman"/>
      <w:color w:val="595959" w:themeColor="text1" w:themeTint="A6"/>
      <w:spacing w:val="5"/>
      <w:kern w:val="24"/>
      <w:sz w:val="20"/>
      <w:lang w:val="en-US"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714F5486BB4262903E723F410AD5F2">
    <w:name w:val="0E714F5486BB4262903E723F410AD5F2"/>
  </w:style>
  <w:style w:type="character" w:customStyle="1" w:styleId="Heading1Char">
    <w:name w:val="Heading 1 Char"/>
    <w:basedOn w:val="DefaultParagraphFont"/>
    <w:link w:val="Heading1"/>
    <w:uiPriority w:val="9"/>
    <w:rPr>
      <w:rFonts w:asciiTheme="majorHAnsi" w:eastAsiaTheme="minorHAnsi" w:hAnsiTheme="majorHAnsi" w:cs="Times New Roman"/>
      <w:color w:val="FFFFFF" w:themeColor="background1"/>
      <w:spacing w:val="5"/>
      <w:kern w:val="0"/>
      <w:sz w:val="20"/>
      <w:szCs w:val="32"/>
      <w:shd w:val="clear" w:color="auto" w:fill="ED7D31" w:themeFill="accent2"/>
      <w:lang w:val="en-US" w:eastAsia="ja-JP"/>
      <w14:ligatures w14:val="none"/>
    </w:rPr>
  </w:style>
  <w:style w:type="character" w:customStyle="1" w:styleId="Heading2Char">
    <w:name w:val="Heading 2 Char"/>
    <w:basedOn w:val="DefaultParagraphFont"/>
    <w:link w:val="Heading2"/>
    <w:uiPriority w:val="9"/>
    <w:rPr>
      <w:rFonts w:asciiTheme="majorHAnsi" w:eastAsiaTheme="minorHAnsi" w:hAnsiTheme="majorHAnsi" w:cs="Times New Roman"/>
      <w:color w:val="C45911" w:themeColor="accent2" w:themeShade="BF"/>
      <w:spacing w:val="5"/>
      <w:kern w:val="24"/>
      <w:sz w:val="20"/>
      <w:szCs w:val="28"/>
      <w:lang w:val="en-US" w:eastAsia="ja-JP"/>
      <w14:ligatures w14:val="none"/>
    </w:rPr>
  </w:style>
  <w:style w:type="character" w:customStyle="1" w:styleId="Heading3Char">
    <w:name w:val="Heading 3 Char"/>
    <w:basedOn w:val="DefaultParagraphFont"/>
    <w:link w:val="Heading3"/>
    <w:uiPriority w:val="9"/>
    <w:rPr>
      <w:rFonts w:asciiTheme="majorHAnsi" w:eastAsiaTheme="minorHAnsi" w:hAnsiTheme="majorHAnsi" w:cs="Times New Roman"/>
      <w:color w:val="595959" w:themeColor="text1" w:themeTint="A6"/>
      <w:spacing w:val="5"/>
      <w:kern w:val="24"/>
      <w:sz w:val="20"/>
      <w:lang w:val="en-US" w:eastAsia="ja-JP"/>
      <w14:ligatures w14:val="none"/>
    </w:rPr>
  </w:style>
  <w:style w:type="paragraph" w:styleId="Caption">
    <w:name w:val="caption"/>
    <w:basedOn w:val="Normal"/>
    <w:next w:val="Normal"/>
    <w:uiPriority w:val="35"/>
    <w:unhideWhenUsed/>
    <w:qFormat/>
    <w:pPr>
      <w:spacing w:after="0" w:line="240" w:lineRule="auto"/>
    </w:pPr>
    <w:rPr>
      <w:rFonts w:asciiTheme="majorHAnsi" w:eastAsiaTheme="minorHAnsi" w:hAnsiTheme="majorHAnsi" w:cs="Times New Roman"/>
      <w:bCs/>
      <w:color w:val="ED7D31" w:themeColor="accent2"/>
      <w:kern w:val="0"/>
      <w:sz w:val="16"/>
      <w:szCs w:val="18"/>
      <w:lang w:val="en-US"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rigin">
  <a:themeElements>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uts:outSpaceData xmlns:outs="http://schemas.microsoft.com/office/2009/outspace/metadata">
  <outs:relatedDates/>
  <outs:relatedDocuments/>
  <outs:relatedPeople/>
  <propertyMetadataList xmlns="http://schemas.microsoft.com/office/2009/outspace/metadata"/>
  <outs:corruptMetadataWasLost>true</outs:corruptMetadataWasLost>
</outs:outSpaceData>
</file>

<file path=customXml/itemProps1.xml><?xml version="1.0" encoding="utf-8"?>
<ds:datastoreItem xmlns:ds="http://schemas.openxmlformats.org/officeDocument/2006/customXml" ds:itemID="{08CE65F9-6D1F-45BE-8AAF-04F59C177571}">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OriginReport</Template>
  <TotalTime>87</TotalTime>
  <Pages>3</Pages>
  <Words>1535</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POLICY BRIEF – MZIMBA DISTRICT</vt:lpstr>
    </vt:vector>
  </TitlesOfParts>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BRIEF — BALAKA DISTRICT</dc:title>
  <dc:subject>Spatial Mapping of GBV Services and Priority Access Gaps in Balaka District</dc:subject>
  <dc:creator>Atusaye Nyondo</dc:creator>
  <cp:keywords/>
  <dc:description/>
  <cp:lastModifiedBy>Atusaye Nyondo</cp:lastModifiedBy>
  <cp:revision>56</cp:revision>
  <dcterms:created xsi:type="dcterms:W3CDTF">2025-12-04T01:12:00Z</dcterms:created>
  <dcterms:modified xsi:type="dcterms:W3CDTF">2025-12-23T13:02:00Z</dcterms:modified>
</cp:coreProperties>
</file>